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/>
          <w:color w:val="000000"/>
          <w:lang w:eastAsia="zh-CN"/>
        </w:rPr>
        <w:t>浮山县</w:t>
      </w:r>
      <w:r>
        <w:rPr>
          <w:color w:val="000000"/>
        </w:rPr>
        <w:t>2017年举借债务情况说明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i w:val="0"/>
          <w:color w:val="000000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</w:pPr>
      <w:r>
        <w:rPr>
          <w:rFonts w:hint="eastAsia" w:ascii="宋体" w:hAnsi="宋体" w:eastAsia="宋体" w:cs="宋体"/>
          <w:color w:val="000000"/>
          <w:sz w:val="31"/>
          <w:szCs w:val="31"/>
        </w:rPr>
        <w:t>根据临财预（2016）59号文件要求，我县地方政府债务</w:t>
      </w:r>
      <w:r>
        <w:rPr>
          <w:rFonts w:hint="eastAsia" w:ascii="宋体" w:hAnsi="宋体" w:eastAsia="宋体" w:cs="宋体"/>
          <w:color w:val="000000"/>
          <w:sz w:val="31"/>
          <w:szCs w:val="31"/>
          <w:lang w:val="en-US" w:eastAsia="zh-CN"/>
        </w:rPr>
        <w:t>2016年末限额30241万元，其中：一般债务余额限额28541万元，专项债务余额限额1700万元。2017年预算安排地方政府一般债券还本支出2425万元；债务付息支出901万元，其中：地方政府向国际组织借款付息支出预算安排47万元，地方政府一般债券付息预算安排854万元。以上情况说明已向人大常委会报备，并予以批准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3465"/>
        <w:jc w:val="right"/>
      </w:pPr>
      <w:r>
        <w:rPr>
          <w:rFonts w:hint="eastAsia" w:ascii="宋体" w:hAnsi="宋体" w:eastAsia="宋体" w:cs="宋体"/>
          <w:color w:val="000000"/>
          <w:sz w:val="30"/>
          <w:szCs w:val="30"/>
        </w:rPr>
        <w:t>2017年3月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0"/>
          <w:szCs w:val="30"/>
        </w:rPr>
        <w:t>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B59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styleId="6">
    <w:name w:val="Hyperlink"/>
    <w:basedOn w:val="4"/>
    <w:uiPriority w:val="0"/>
    <w:rPr>
      <w:rFonts w:ascii="微软雅黑" w:hAnsi="微软雅黑" w:eastAsia="微软雅黑" w:cs="微软雅黑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2017-11-05T03:18:11Z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