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hint="eastAsia" w:ascii="仿宋_GB2312" w:eastAsia="仿宋_GB2312"/>
          <w:sz w:val="32"/>
          <w:szCs w:val="32"/>
        </w:rPr>
      </w:pPr>
    </w:p>
    <w:p>
      <w:pPr>
        <w:spacing w:line="600" w:lineRule="exact"/>
        <w:jc w:val="center"/>
        <w:rPr>
          <w:rFonts w:hint="eastAsia" w:ascii="宋体"/>
          <w:b/>
          <w:sz w:val="44"/>
          <w:szCs w:val="44"/>
        </w:rPr>
      </w:pPr>
      <w:r>
        <w:rPr>
          <w:rFonts w:hint="eastAsia" w:ascii="宋体" w:hAnsi="宋体"/>
          <w:b/>
          <w:sz w:val="44"/>
          <w:szCs w:val="44"/>
        </w:rPr>
        <w:t>浮山县统计局2020年部门预算信息公开</w:t>
      </w:r>
    </w:p>
    <w:p>
      <w:pPr>
        <w:spacing w:line="600" w:lineRule="exact"/>
        <w:ind w:firstLine="640" w:firstLineChars="200"/>
        <w:rPr>
          <w:rFonts w:hint="eastAsia" w:ascii="仿宋_GB2312" w:eastAsia="仿宋_GB2312"/>
          <w:sz w:val="32"/>
          <w:szCs w:val="32"/>
        </w:rPr>
      </w:pPr>
    </w:p>
    <w:p>
      <w:pPr>
        <w:spacing w:line="600" w:lineRule="exact"/>
        <w:jc w:val="center"/>
        <w:rPr>
          <w:rFonts w:hint="eastAsia" w:ascii="黑体" w:eastAsia="黑体"/>
          <w:sz w:val="32"/>
          <w:szCs w:val="32"/>
        </w:rPr>
      </w:pPr>
      <w:r>
        <w:rPr>
          <w:rFonts w:hint="eastAsia" w:ascii="黑体" w:eastAsia="黑体"/>
          <w:sz w:val="32"/>
          <w:szCs w:val="32"/>
        </w:rPr>
        <w:t>第一部分概况</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一、单位基本情况</w:t>
      </w:r>
    </w:p>
    <w:p>
      <w:pPr>
        <w:spacing w:line="620" w:lineRule="exact"/>
        <w:ind w:firstLine="640" w:firstLineChars="200"/>
        <w:rPr>
          <w:rFonts w:ascii="仿宋_GB2312" w:hAnsi="新宋体" w:eastAsia="仿宋_GB2312"/>
          <w:sz w:val="32"/>
          <w:szCs w:val="32"/>
        </w:rPr>
      </w:pPr>
      <w:r>
        <w:rPr>
          <w:rFonts w:hint="eastAsia" w:ascii="仿宋_GB2312" w:hAnsi="新宋体" w:eastAsia="仿宋_GB2312"/>
          <w:color w:val="000000"/>
          <w:sz w:val="32"/>
          <w:szCs w:val="32"/>
        </w:rPr>
        <w:t>浮山县统计局为县政府直属一级行政单位</w:t>
      </w:r>
      <w:r>
        <w:rPr>
          <w:rFonts w:hint="eastAsia" w:ascii="仿宋_GB2312" w:hAnsi="新宋体" w:eastAsia="仿宋_GB2312"/>
          <w:sz w:val="32"/>
          <w:szCs w:val="32"/>
        </w:rPr>
        <w:t>，</w:t>
      </w:r>
      <w:r>
        <w:rPr>
          <w:rFonts w:hint="eastAsia" w:ascii="仿宋_GB2312" w:hAnsi="新宋体" w:eastAsia="仿宋_GB2312" w:cs="仿宋_GB2312"/>
          <w:color w:val="000000"/>
          <w:sz w:val="32"/>
          <w:szCs w:val="32"/>
          <w:shd w:val="clear" w:color="auto" w:fill="FFFFFF"/>
        </w:rPr>
        <w:t>位于浮山县天坛东路</w:t>
      </w:r>
      <w:r>
        <w:rPr>
          <w:rFonts w:hint="eastAsia" w:ascii="仿宋_GB2312" w:hAnsi="新宋体" w:eastAsia="仿宋_GB2312"/>
          <w:color w:val="000000"/>
          <w:sz w:val="32"/>
          <w:szCs w:val="32"/>
        </w:rPr>
        <w:t>153</w:t>
      </w:r>
      <w:r>
        <w:rPr>
          <w:rFonts w:hint="eastAsia" w:ascii="仿宋_GB2312" w:hAnsi="新宋体" w:eastAsia="仿宋_GB2312" w:cs="仿宋_GB2312"/>
          <w:color w:val="000000"/>
          <w:sz w:val="32"/>
          <w:szCs w:val="32"/>
          <w:shd w:val="clear" w:color="auto" w:fill="FFFFFF"/>
        </w:rPr>
        <w:t>号。</w:t>
      </w:r>
      <w:r>
        <w:rPr>
          <w:rFonts w:hint="eastAsia" w:ascii="仿宋_GB2312" w:hAnsi="新宋体" w:eastAsia="仿宋_GB2312"/>
          <w:color w:val="000000"/>
          <w:sz w:val="32"/>
          <w:szCs w:val="32"/>
        </w:rPr>
        <w:t>我单位为全额拨款行政单位，经县人民政府批准，县统计局设2个内设机构，办公室和综合统计股。机关行政编制7人，工勤编制1人。全额事业20人。普查中心5人，执法大队5人，农村调查队4人，城市调查队3人，企业调查队3人。实际在册人员29人，其中：行政9人，工勤1人，全额事业19人。另有退休人员4人，遗属补助2人。</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二、单位主要职能</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1、制定全县性统计调查规划、组织领导和综合协调辖区单位的统计报表填报和国民经济核算工作，监督检查统计法律、法规的实施，确保统计数据的真实、准确、及时。</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2、根据国家宏观管理和科学的需要，建立健全全县国民经济核算体系、统计指标体系和统计调查体系，组织执行全国统计的基层报表制度和统计标准。</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3、在县委县政府的领导下，组织各项重大国情国力调查。</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4、统一组织协调各乡镇、各部门的社会经济调查，审查各乡镇、各部门的统计调查情况，组织全县统计报表的管理工作。</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5、搜索整理全县的基本统计资料、并进行统计分析预测和监督考核、向政府和社会各界提供咨询。</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6、建立健全统计执法检查制度和数据质量评估制度，保证统计数据准确。</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7、统一核定、管理、公布、出版全县性的基本统计资料，定期发布全县统计经济和社会发展情况的统计公报。</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8、建立健全和管理全县统计信息自动化系统和数据库体系。</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9、贯彻落实上级部门关于统计体制改革方案和实施办法。</w:t>
      </w:r>
    </w:p>
    <w:p>
      <w:pPr>
        <w:pStyle w:val="9"/>
        <w:widowControl w:val="0"/>
        <w:spacing w:line="660" w:lineRule="exact"/>
        <w:ind w:left="0" w:firstLine="640" w:firstLineChars="200"/>
        <w:rPr>
          <w:rFonts w:ascii="仿宋_GB2312" w:eastAsia="仿宋_GB2312"/>
          <w:bCs/>
          <w:sz w:val="32"/>
          <w:szCs w:val="32"/>
        </w:rPr>
      </w:pPr>
      <w:r>
        <w:rPr>
          <w:rFonts w:hint="eastAsia" w:ascii="仿宋_GB2312" w:eastAsia="仿宋_GB2312"/>
          <w:bCs/>
          <w:sz w:val="32"/>
          <w:szCs w:val="32"/>
        </w:rPr>
        <w:t>10、承担县人民政府交办的其他事项。</w:t>
      </w:r>
    </w:p>
    <w:p>
      <w:pPr>
        <w:spacing w:line="600" w:lineRule="exact"/>
        <w:ind w:firstLine="2240" w:firstLineChars="700"/>
        <w:rPr>
          <w:rFonts w:hint="eastAsia" w:ascii="黑体" w:eastAsia="黑体"/>
          <w:sz w:val="32"/>
          <w:szCs w:val="32"/>
        </w:rPr>
      </w:pPr>
      <w:r>
        <w:rPr>
          <w:rFonts w:hint="eastAsia" w:ascii="黑体" w:eastAsia="黑体"/>
          <w:sz w:val="32"/>
          <w:szCs w:val="32"/>
        </w:rPr>
        <w:t>第二部分2020年度部门预算报表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一、浮山县统计局2020年预算收支总表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二、浮山县统计局2020年预算收入总表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三、浮山县统计局2020年预算支出总表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四、浮山县统计局2020年财政拨款收支总表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五、浮山县统计局2020年一般公共预算支出预算表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六、浮山县统计局2020年一般公共预算安排基本支出分经济科目表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七、浮山县统计局2020年政府性基金预算收入预算表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八、浮山县统计局2020年政府性基金预算支出预算表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九、浮山县统计局2020年“三公”经费预算财政拨款情况统计表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十、浮山县统计局2020年机关运行经费预算财政拨款情况统计表</w:t>
      </w:r>
    </w:p>
    <w:p>
      <w:pPr>
        <w:spacing w:line="600" w:lineRule="exact"/>
        <w:jc w:val="center"/>
        <w:rPr>
          <w:rFonts w:hint="eastAsia" w:ascii="黑体" w:eastAsia="黑体"/>
          <w:sz w:val="32"/>
          <w:szCs w:val="32"/>
        </w:rPr>
      </w:pPr>
      <w:r>
        <w:rPr>
          <w:rFonts w:hint="eastAsia" w:ascii="黑体" w:eastAsia="黑体"/>
          <w:sz w:val="32"/>
          <w:szCs w:val="32"/>
        </w:rPr>
        <w:t>第三部分2020年度部门预算情况说明</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一、2020年度部门预算数据变动情况及原因</w:t>
      </w:r>
    </w:p>
    <w:p>
      <w:pPr>
        <w:spacing w:line="600" w:lineRule="exact"/>
        <w:ind w:left="638" w:leftChars="304" w:firstLine="640" w:firstLineChars="200"/>
        <w:rPr>
          <w:rFonts w:hint="eastAsia" w:ascii="仿宋_GB2312" w:eastAsia="仿宋_GB2312"/>
          <w:sz w:val="32"/>
          <w:szCs w:val="32"/>
        </w:rPr>
      </w:pPr>
      <w:r>
        <w:rPr>
          <w:rFonts w:hint="eastAsia" w:ascii="仿宋_GB2312" w:eastAsia="仿宋_GB2312"/>
          <w:sz w:val="32"/>
          <w:szCs w:val="32"/>
        </w:rPr>
        <w:t>浮山县统计局2020年部门预算303.26万元，比2019年预算增加8.46万元，增长率为2%。其中：工资福利支出比2019年增加14.09万元，增长率为5%。增加原因为机关人员调资，相应的津补贴和保险都提高。商品和服务支出比2019年增加1.3万元，增长率为6%。增加原因为工资增加相应的工会经费及福利费增加，劳务费和其他交通费增加。对个人和家庭补助支出与2019年无变化。项目支出2020年比2019年减少6.92万元，减少原因为今年的项目经费未列入其中。</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2020年一般公共预算安排的“三公”经费0.4万元，比上年增加0.4万元。其中：因公出国（境）费用 0万元，比上年增加（减少）0万元；公务接待费0万元，比上年增加（减少）0万元，公务用车运行维护费0万元，比上年增加（减少）0万元；公务用车购置费0万元，比上年增加（减少）0万元。培训费预算0.4万元，主要用于统计业务培训。</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浮山县统计局2020年运行经费财政拨款预算21.84万元，比2019年增加了1.3万元，增加原因为工资增加相应的工会经费及福利费增加，劳务费和其他交通费增加。</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2020年浮山县统计局政府采购预算总额0万元。</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截止到2019年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日，本单位固定资产年末数112.78万元。本单位无车辆，单位无价值</w:t>
      </w:r>
      <w:r>
        <w:rPr>
          <w:rFonts w:ascii="仿宋_GB2312" w:eastAsia="仿宋_GB2312"/>
          <w:sz w:val="32"/>
          <w:szCs w:val="32"/>
        </w:rPr>
        <w:t>50</w:t>
      </w:r>
      <w:r>
        <w:rPr>
          <w:rFonts w:hint="eastAsia" w:ascii="仿宋_GB2312" w:eastAsia="仿宋_GB2312"/>
          <w:sz w:val="32"/>
          <w:szCs w:val="32"/>
        </w:rPr>
        <w:t>万元以上的通用设备，单位无价值</w:t>
      </w:r>
      <w:r>
        <w:rPr>
          <w:rFonts w:ascii="仿宋_GB2312" w:eastAsia="仿宋_GB2312"/>
          <w:sz w:val="32"/>
          <w:szCs w:val="32"/>
        </w:rPr>
        <w:t>100</w:t>
      </w:r>
      <w:r>
        <w:rPr>
          <w:rFonts w:hint="eastAsia" w:ascii="仿宋_GB2312" w:eastAsia="仿宋_GB2312"/>
          <w:sz w:val="32"/>
          <w:szCs w:val="32"/>
        </w:rPr>
        <w:t>万元以上的专用设备。</w:t>
      </w:r>
    </w:p>
    <w:p>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六、绩效管理情况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2020年部门预算我单位无项目支出情况。</w:t>
      </w:r>
    </w:p>
    <w:p>
      <w:pPr>
        <w:spacing w:line="600" w:lineRule="exact"/>
        <w:ind w:firstLine="3200" w:firstLineChars="1000"/>
        <w:rPr>
          <w:rFonts w:hint="eastAsia" w:ascii="黑体" w:eastAsia="黑体"/>
          <w:sz w:val="32"/>
          <w:szCs w:val="32"/>
        </w:rPr>
      </w:pPr>
      <w:r>
        <w:rPr>
          <w:rFonts w:hint="eastAsia" w:ascii="黑体" w:eastAsia="黑体"/>
          <w:sz w:val="32"/>
          <w:szCs w:val="32"/>
        </w:rPr>
        <w:t>第四部分名词解释</w:t>
      </w:r>
    </w:p>
    <w:p>
      <w:pPr>
        <w:spacing w:line="600" w:lineRule="exact"/>
        <w:ind w:firstLine="643" w:firstLineChars="200"/>
        <w:rPr>
          <w:rFonts w:hint="eastAsia"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hint="eastAsia"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hint="eastAsia"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hint="eastAsia"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hint="eastAsia" w:ascii="仿宋_GB2312" w:eastAsia="仿宋_GB2312"/>
          <w:sz w:val="32"/>
          <w:szCs w:val="32"/>
        </w:rPr>
      </w:pPr>
    </w:p>
    <w:p>
      <w:pPr>
        <w:spacing w:line="600" w:lineRule="exact"/>
        <w:ind w:firstLine="4800" w:firstLineChars="1500"/>
        <w:jc w:val="right"/>
        <w:rPr>
          <w:rFonts w:hint="eastAsia"/>
        </w:rPr>
      </w:pPr>
      <w:r>
        <w:rPr>
          <w:rFonts w:hint="eastAsia" w:ascii="仿宋_GB2312" w:eastAsia="仿宋_GB2312"/>
          <w:sz w:val="32"/>
          <w:szCs w:val="32"/>
        </w:rPr>
        <w:t>2020年</w:t>
      </w:r>
      <w:r>
        <w:rPr>
          <w:rFonts w:hint="eastAsia" w:ascii="仿宋_GB2312" w:eastAsia="仿宋_GB2312"/>
          <w:sz w:val="32"/>
          <w:szCs w:val="32"/>
          <w:lang w:val="en-US" w:eastAsia="zh-CN"/>
        </w:rPr>
        <w:t>5</w:t>
      </w:r>
      <w:bookmarkStart w:id="0" w:name="_GoBack"/>
      <w:bookmarkEnd w:id="0"/>
      <w:r>
        <w:rPr>
          <w:rFonts w:hint="eastAsia" w:ascii="仿宋_GB2312" w:eastAsia="仿宋_GB2312"/>
          <w:sz w:val="32"/>
          <w:szCs w:val="32"/>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hint="eastAsia"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0C5D1F"/>
    <w:rsid w:val="00120BF5"/>
    <w:rsid w:val="001423F1"/>
    <w:rsid w:val="001E360E"/>
    <w:rsid w:val="00211784"/>
    <w:rsid w:val="00236A7D"/>
    <w:rsid w:val="00246095"/>
    <w:rsid w:val="002650F6"/>
    <w:rsid w:val="002D7777"/>
    <w:rsid w:val="00370063"/>
    <w:rsid w:val="00393481"/>
    <w:rsid w:val="0040257E"/>
    <w:rsid w:val="0044122F"/>
    <w:rsid w:val="004475AA"/>
    <w:rsid w:val="005914FF"/>
    <w:rsid w:val="00593F23"/>
    <w:rsid w:val="005E63F3"/>
    <w:rsid w:val="005E6F9D"/>
    <w:rsid w:val="005E71C2"/>
    <w:rsid w:val="006726F2"/>
    <w:rsid w:val="006943D6"/>
    <w:rsid w:val="007636CB"/>
    <w:rsid w:val="00795B78"/>
    <w:rsid w:val="0082011A"/>
    <w:rsid w:val="00833DF2"/>
    <w:rsid w:val="0091609A"/>
    <w:rsid w:val="00944474"/>
    <w:rsid w:val="00975919"/>
    <w:rsid w:val="009840B4"/>
    <w:rsid w:val="00987CA2"/>
    <w:rsid w:val="009921FF"/>
    <w:rsid w:val="009A5464"/>
    <w:rsid w:val="009A6F51"/>
    <w:rsid w:val="00A150CE"/>
    <w:rsid w:val="00A21CE3"/>
    <w:rsid w:val="00A31A4C"/>
    <w:rsid w:val="00A3461D"/>
    <w:rsid w:val="00A650D7"/>
    <w:rsid w:val="00BA11B5"/>
    <w:rsid w:val="00BF0F06"/>
    <w:rsid w:val="00C60E39"/>
    <w:rsid w:val="00C70C63"/>
    <w:rsid w:val="00D40A95"/>
    <w:rsid w:val="00DA082B"/>
    <w:rsid w:val="00DB6549"/>
    <w:rsid w:val="00DD6AE4"/>
    <w:rsid w:val="00E0508C"/>
    <w:rsid w:val="00E43510"/>
    <w:rsid w:val="00E70831"/>
    <w:rsid w:val="00E9254E"/>
    <w:rsid w:val="00EB7070"/>
    <w:rsid w:val="00F140F3"/>
    <w:rsid w:val="00F53382"/>
    <w:rsid w:val="00F76463"/>
    <w:rsid w:val="00FA4F16"/>
    <w:rsid w:val="07DB3037"/>
    <w:rsid w:val="088E0DB5"/>
    <w:rsid w:val="0E0A19CE"/>
    <w:rsid w:val="15100316"/>
    <w:rsid w:val="15BF6659"/>
    <w:rsid w:val="209D461C"/>
    <w:rsid w:val="2425476E"/>
    <w:rsid w:val="2503791B"/>
    <w:rsid w:val="27454545"/>
    <w:rsid w:val="28FA1063"/>
    <w:rsid w:val="29D361D6"/>
    <w:rsid w:val="2CC24722"/>
    <w:rsid w:val="2E467B19"/>
    <w:rsid w:val="339B7DDD"/>
    <w:rsid w:val="39D34F24"/>
    <w:rsid w:val="3D2F7C22"/>
    <w:rsid w:val="4137205C"/>
    <w:rsid w:val="41EF5452"/>
    <w:rsid w:val="43B62FED"/>
    <w:rsid w:val="454761A2"/>
    <w:rsid w:val="48005682"/>
    <w:rsid w:val="487B2D61"/>
    <w:rsid w:val="4DC1729B"/>
    <w:rsid w:val="62CF3634"/>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semiHidden="0" w:name="header"/>
    <w:lsdException w:qFormat="1"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paragraph" w:customStyle="1" w:styleId="9">
    <w:name w:val="p0"/>
    <w:basedOn w:val="1"/>
    <w:uiPriority w:val="0"/>
    <w:pPr>
      <w:widowControl/>
      <w:spacing w:line="365" w:lineRule="atLeast"/>
      <w:ind w:left="1"/>
      <w:textAlignment w:val="bottom"/>
    </w:pPr>
    <w:rPr>
      <w:rFonts w:ascii="Times New Roman" w:hAnsi="Times New Roman"/>
      <w:kern w:val="0"/>
      <w:sz w:val="20"/>
      <w:szCs w:val="20"/>
    </w:rPr>
  </w:style>
  <w:style w:type="character" w:customStyle="1" w:styleId="10">
    <w:name w:val="批注框文本 Char"/>
    <w:basedOn w:val="5"/>
    <w:link w:val="2"/>
    <w:semiHidden/>
    <w:qFormat/>
    <w:locked/>
    <w:uiPriority w:val="99"/>
    <w:rPr>
      <w:rFonts w:cs="Times New Roman"/>
      <w:sz w:val="2"/>
    </w:rPr>
  </w:style>
  <w:style w:type="character" w:customStyle="1" w:styleId="11">
    <w:name w:val="页脚 Char"/>
    <w:basedOn w:val="5"/>
    <w:link w:val="3"/>
    <w:semiHidden/>
    <w:qFormat/>
    <w:locked/>
    <w:uiPriority w:val="99"/>
    <w:rPr>
      <w:rFonts w:cs="Times New Roman"/>
      <w:sz w:val="18"/>
      <w:szCs w:val="18"/>
    </w:rPr>
  </w:style>
  <w:style w:type="character" w:customStyle="1" w:styleId="12">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AsWorld</Company>
  <Pages>5</Pages>
  <Words>301</Words>
  <Characters>1718</Characters>
  <Lines>14</Lines>
  <Paragraphs>4</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2020-05-20T10:09:01Z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