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hAnsi="宋体"/>
          <w:b/>
          <w:sz w:val="44"/>
          <w:szCs w:val="44"/>
          <w:lang w:val="en-US" w:eastAsia="zh-CN"/>
        </w:rPr>
      </w:pPr>
      <w:r>
        <w:rPr>
          <w:rFonts w:hint="eastAsia" w:ascii="宋体" w:hAnsi="宋体"/>
          <w:b/>
          <w:sz w:val="44"/>
          <w:szCs w:val="44"/>
        </w:rPr>
        <w:t>浮山县</w:t>
      </w:r>
      <w:r>
        <w:rPr>
          <w:rFonts w:hint="eastAsia" w:ascii="宋体" w:hAnsi="宋体"/>
          <w:b/>
          <w:sz w:val="44"/>
          <w:szCs w:val="44"/>
          <w:lang w:val="en-US" w:eastAsia="zh-CN"/>
        </w:rPr>
        <w:t>发展和改革局</w:t>
      </w:r>
    </w:p>
    <w:p>
      <w:pPr>
        <w:spacing w:line="600" w:lineRule="exact"/>
        <w:jc w:val="center"/>
        <w:rPr>
          <w:rFonts w:hint="eastAsia" w:ascii="宋体" w:eastAsia="宋体"/>
          <w:b/>
          <w:sz w:val="44"/>
          <w:szCs w:val="44"/>
          <w:lang w:eastAsia="zh-CN"/>
        </w:rPr>
      </w:pPr>
      <w:r>
        <w:rPr>
          <w:rFonts w:hint="eastAsia" w:ascii="宋体" w:hAnsi="宋体"/>
          <w:b/>
          <w:sz w:val="44"/>
          <w:szCs w:val="44"/>
          <w:lang w:eastAsia="zh-CN"/>
        </w:rPr>
        <w:t>20</w:t>
      </w:r>
      <w:r>
        <w:rPr>
          <w:rFonts w:hint="eastAsia" w:ascii="宋体" w:hAnsi="宋体"/>
          <w:b/>
          <w:sz w:val="44"/>
          <w:szCs w:val="44"/>
          <w:lang w:val="en-US" w:eastAsia="zh-CN"/>
        </w:rPr>
        <w:t>20</w:t>
      </w:r>
      <w:r>
        <w:rPr>
          <w:rFonts w:hint="eastAsia" w:ascii="宋体" w:hAnsi="宋体"/>
          <w:b/>
          <w:sz w:val="44"/>
          <w:szCs w:val="44"/>
        </w:rPr>
        <w:t>年部门预算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pStyle w:val="5"/>
        <w:widowControl/>
        <w:wordWrap/>
        <w:adjustRightInd/>
        <w:snapToGrid/>
        <w:spacing w:before="0" w:beforeAutospacing="0" w:after="0" w:afterAutospacing="0" w:line="600" w:lineRule="exact"/>
        <w:ind w:right="0" w:firstLine="643" w:firstLineChars="200"/>
        <w:textAlignment w:val="auto"/>
        <w:rPr>
          <w:rFonts w:hint="eastAsia"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pPr>
        <w:pStyle w:val="5"/>
        <w:widowControl/>
        <w:wordWrap/>
        <w:adjustRightInd/>
        <w:snapToGrid/>
        <w:spacing w:before="0" w:beforeAutospacing="0" w:after="0" w:afterAutospacing="0" w:line="600" w:lineRule="exact"/>
        <w:ind w:right="0" w:firstLine="640" w:firstLineChars="200"/>
        <w:textAlignment w:val="auto"/>
        <w:rPr>
          <w:rFonts w:hint="eastAsia" w:ascii="仿宋_GB2312" w:hAnsi="Times New Roman" w:eastAsia="仿宋_GB2312" w:cs="Times New Roman"/>
          <w:b w:val="0"/>
          <w:bCs w:val="0"/>
          <w:kern w:val="2"/>
          <w:sz w:val="32"/>
          <w:szCs w:val="32"/>
          <w:lang w:val="en-US" w:eastAsia="zh-CN" w:bidi="ar-SA"/>
        </w:rPr>
      </w:pPr>
      <w:r>
        <w:rPr>
          <w:rFonts w:hint="eastAsia" w:ascii="仿宋_GB2312" w:hAnsi="Times New Roman" w:eastAsia="仿宋_GB2312" w:cs="Times New Roman"/>
          <w:b w:val="0"/>
          <w:bCs w:val="0"/>
          <w:kern w:val="2"/>
          <w:sz w:val="32"/>
          <w:szCs w:val="32"/>
          <w:lang w:val="en-US" w:eastAsia="zh-CN" w:bidi="ar-SA"/>
        </w:rPr>
        <w:t>浮山县发展和改革局是县人民政府工作部门，为正科级，加挂县粮食局、县能源局牌子。</w:t>
      </w:r>
      <w:r>
        <w:rPr>
          <w:rFonts w:hint="eastAsia" w:ascii="仿宋_GB2312" w:eastAsia="仿宋_GB2312"/>
          <w:b w:val="0"/>
          <w:bCs w:val="0"/>
          <w:sz w:val="32"/>
          <w:szCs w:val="32"/>
          <w:lang w:val="en-US" w:eastAsia="zh-CN"/>
        </w:rPr>
        <w:t>县</w:t>
      </w:r>
      <w:r>
        <w:rPr>
          <w:rFonts w:hint="eastAsia" w:ascii="仿宋_GB2312" w:hAnsi="Times New Roman" w:eastAsia="仿宋_GB2312" w:cs="Times New Roman"/>
          <w:kern w:val="2"/>
          <w:sz w:val="32"/>
          <w:szCs w:val="32"/>
          <w:lang w:val="en-US" w:eastAsia="zh-CN" w:bidi="ar-SA"/>
        </w:rPr>
        <w:t>委财经委员</w:t>
      </w:r>
      <w:r>
        <w:rPr>
          <w:rFonts w:hint="eastAsia" w:ascii="仿宋_GB2312" w:hAnsi="Times New Roman" w:eastAsia="仿宋_GB2312" w:cs="Times New Roman"/>
          <w:b w:val="0"/>
          <w:bCs w:val="0"/>
          <w:kern w:val="2"/>
          <w:sz w:val="32"/>
          <w:szCs w:val="32"/>
          <w:lang w:val="en-US" w:eastAsia="zh-CN" w:bidi="ar-SA"/>
        </w:rPr>
        <w:t>会办公室</w:t>
      </w:r>
      <w:r>
        <w:rPr>
          <w:rFonts w:hint="eastAsia" w:ascii="仿宋_GB2312" w:hAnsi="Times New Roman" w:eastAsia="仿宋_GB2312" w:cs="Times New Roman"/>
          <w:kern w:val="2"/>
          <w:sz w:val="32"/>
          <w:szCs w:val="32"/>
          <w:lang w:val="en-US" w:eastAsia="zh-CN" w:bidi="ar-SA"/>
        </w:rPr>
        <w:t>设在县发展和改革局，接受县委财经委员会的直接领导，承担县委财经委员会具体工作。</w:t>
      </w:r>
      <w:r>
        <w:rPr>
          <w:rFonts w:hint="eastAsia" w:ascii="仿宋_GB2312" w:hAnsi="Times New Roman" w:eastAsia="仿宋_GB2312" w:cs="Times New Roman"/>
          <w:b w:val="0"/>
          <w:bCs w:val="0"/>
          <w:kern w:val="2"/>
          <w:sz w:val="32"/>
          <w:szCs w:val="32"/>
          <w:lang w:val="en-US" w:eastAsia="zh-CN" w:bidi="ar-SA"/>
        </w:rPr>
        <w:t>县发展和改革局设下列内设机构：</w:t>
      </w:r>
      <w:r>
        <w:rPr>
          <w:rFonts w:hint="eastAsia" w:ascii="仿宋" w:hAnsi="仿宋" w:eastAsia="仿宋" w:cs="仿宋"/>
          <w:b w:val="0"/>
          <w:bCs w:val="0"/>
          <w:kern w:val="2"/>
          <w:sz w:val="32"/>
          <w:szCs w:val="32"/>
          <w:lang w:val="en-US" w:eastAsia="zh-CN" w:bidi="ar-SA"/>
        </w:rPr>
        <w:t>办公室、综合业务股(行政审批股）、</w:t>
      </w:r>
      <w:r>
        <w:rPr>
          <w:rFonts w:hint="eastAsia" w:ascii="仿宋_GB2312" w:hAnsi="仿宋_GB2312" w:eastAsia="仿宋_GB2312" w:cs="仿宋_GB2312"/>
          <w:b w:val="0"/>
          <w:bCs w:val="0"/>
          <w:color w:val="000000"/>
          <w:sz w:val="32"/>
          <w:szCs w:val="32"/>
        </w:rPr>
        <w:t>政策法规</w:t>
      </w:r>
      <w:r>
        <w:rPr>
          <w:rFonts w:hint="eastAsia" w:ascii="仿宋_GB2312" w:hAnsi="仿宋_GB2312" w:eastAsia="仿宋_GB2312" w:cs="仿宋_GB2312"/>
          <w:b w:val="0"/>
          <w:bCs w:val="0"/>
          <w:color w:val="000000"/>
          <w:sz w:val="32"/>
          <w:szCs w:val="32"/>
          <w:lang w:eastAsia="zh-CN"/>
        </w:rPr>
        <w:t>督查室。</w:t>
      </w:r>
      <w:r>
        <w:rPr>
          <w:rFonts w:hint="eastAsia" w:ascii="仿宋_GB2312" w:hAnsi="Times New Roman" w:eastAsia="仿宋_GB2312" w:cs="Times New Roman"/>
          <w:b w:val="0"/>
          <w:bCs w:val="0"/>
          <w:kern w:val="2"/>
          <w:sz w:val="32"/>
          <w:szCs w:val="32"/>
          <w:lang w:val="en-US" w:eastAsia="zh-CN" w:bidi="ar-SA"/>
        </w:rPr>
        <w:t>行政编制</w:t>
      </w:r>
      <w:r>
        <w:rPr>
          <w:rFonts w:hint="eastAsia" w:ascii="仿宋_GB2312" w:eastAsia="仿宋_GB2312" w:cs="Times New Roman"/>
          <w:b w:val="0"/>
          <w:bCs w:val="0"/>
          <w:kern w:val="2"/>
          <w:sz w:val="32"/>
          <w:szCs w:val="32"/>
          <w:lang w:val="en-US" w:eastAsia="zh-CN" w:bidi="ar-SA"/>
        </w:rPr>
        <w:t>6</w:t>
      </w:r>
      <w:r>
        <w:rPr>
          <w:rFonts w:hint="eastAsia" w:ascii="仿宋_GB2312" w:hAnsi="Times New Roman" w:eastAsia="仿宋_GB2312" w:cs="Times New Roman"/>
          <w:b w:val="0"/>
          <w:bCs w:val="0"/>
          <w:kern w:val="2"/>
          <w:sz w:val="32"/>
          <w:szCs w:val="32"/>
          <w:lang w:val="en-US" w:eastAsia="zh-CN" w:bidi="ar-SA"/>
        </w:rPr>
        <w:t>名（含县委财经委员会办公室</w:t>
      </w:r>
      <w:r>
        <w:rPr>
          <w:rFonts w:hint="eastAsia" w:ascii="仿宋_GB2312" w:eastAsia="仿宋_GB2312" w:cs="Times New Roman"/>
          <w:b w:val="0"/>
          <w:bCs w:val="0"/>
          <w:kern w:val="2"/>
          <w:sz w:val="32"/>
          <w:szCs w:val="32"/>
          <w:lang w:val="en-US" w:eastAsia="zh-CN" w:bidi="ar-SA"/>
        </w:rPr>
        <w:t>的</w:t>
      </w:r>
      <w:r>
        <w:rPr>
          <w:rFonts w:hint="eastAsia" w:ascii="仿宋_GB2312" w:hAnsi="Times New Roman" w:eastAsia="仿宋_GB2312" w:cs="Times New Roman"/>
          <w:b w:val="0"/>
          <w:bCs w:val="0"/>
          <w:kern w:val="2"/>
          <w:sz w:val="32"/>
          <w:szCs w:val="32"/>
          <w:lang w:val="en-US" w:eastAsia="zh-CN" w:bidi="ar-SA"/>
        </w:rPr>
        <w:t>编制）。设局长1名，副局长</w:t>
      </w:r>
      <w:r>
        <w:rPr>
          <w:rFonts w:hint="eastAsia" w:ascii="仿宋_GB2312" w:eastAsia="仿宋_GB2312" w:cs="Times New Roman"/>
          <w:b w:val="0"/>
          <w:bCs w:val="0"/>
          <w:kern w:val="2"/>
          <w:sz w:val="32"/>
          <w:szCs w:val="32"/>
          <w:lang w:val="en-US" w:eastAsia="zh-CN" w:bidi="ar-SA"/>
        </w:rPr>
        <w:t>2</w:t>
      </w:r>
      <w:r>
        <w:rPr>
          <w:rFonts w:hint="eastAsia" w:ascii="仿宋_GB2312" w:hAnsi="Times New Roman" w:eastAsia="仿宋_GB2312" w:cs="Times New Roman"/>
          <w:b w:val="0"/>
          <w:bCs w:val="0"/>
          <w:kern w:val="2"/>
          <w:sz w:val="32"/>
          <w:szCs w:val="32"/>
          <w:lang w:val="en-US" w:eastAsia="zh-CN" w:bidi="ar-SA"/>
        </w:rPr>
        <w:t>名</w:t>
      </w:r>
      <w:r>
        <w:rPr>
          <w:rFonts w:hint="eastAsia" w:ascii="仿宋_GB2312" w:eastAsia="仿宋_GB2312" w:cs="Times New Roman"/>
          <w:b w:val="0"/>
          <w:bCs w:val="0"/>
          <w:kern w:val="2"/>
          <w:sz w:val="32"/>
          <w:szCs w:val="32"/>
          <w:lang w:val="en-US" w:eastAsia="zh-CN" w:bidi="ar-SA"/>
        </w:rPr>
        <w:t>，总工程师1名，股级职数3名</w:t>
      </w:r>
      <w:r>
        <w:rPr>
          <w:rFonts w:hint="eastAsia" w:ascii="仿宋_GB2312" w:hAnsi="Times New Roman" w:eastAsia="仿宋_GB2312" w:cs="Times New Roman"/>
          <w:b w:val="0"/>
          <w:bCs w:val="0"/>
          <w:kern w:val="2"/>
          <w:sz w:val="32"/>
          <w:szCs w:val="32"/>
          <w:lang w:val="en-US" w:eastAsia="zh-CN" w:bidi="ar-SA"/>
        </w:rPr>
        <w:t>。</w:t>
      </w:r>
      <w:r>
        <w:rPr>
          <w:rFonts w:hint="eastAsia" w:ascii="仿宋_GB2312" w:hAnsi="Times New Roman" w:eastAsia="仿宋_GB2312" w:cs="Times New Roman"/>
          <w:b w:val="0"/>
          <w:bCs w:val="0"/>
          <w:kern w:val="2"/>
          <w:sz w:val="32"/>
          <w:szCs w:val="32"/>
          <w:lang w:val="en-US" w:eastAsia="zh-CN" w:bidi="ar-SA"/>
        </w:rPr>
        <w:tab/>
      </w:r>
    </w:p>
    <w:p>
      <w:pPr>
        <w:numPr>
          <w:ilvl w:val="0"/>
          <w:numId w:val="1"/>
        </w:numPr>
        <w:spacing w:line="600" w:lineRule="exact"/>
        <w:ind w:firstLine="643" w:firstLineChars="200"/>
        <w:rPr>
          <w:rFonts w:hint="eastAsia" w:ascii="仿宋_GB2312" w:eastAsia="仿宋_GB2312"/>
          <w:b/>
          <w:bCs/>
          <w:sz w:val="32"/>
          <w:szCs w:val="32"/>
          <w:lang w:val="en-US" w:eastAsia="zh-CN"/>
        </w:rPr>
      </w:pPr>
      <w:r>
        <w:rPr>
          <w:rFonts w:hint="eastAsia" w:ascii="仿宋_GB2312" w:eastAsia="仿宋_GB2312"/>
          <w:b/>
          <w:sz w:val="32"/>
          <w:szCs w:val="32"/>
          <w:lang w:eastAsia="zh-CN"/>
        </w:rPr>
        <w:t>单位</w:t>
      </w:r>
      <w:r>
        <w:rPr>
          <w:rFonts w:hint="eastAsia" w:ascii="仿宋_GB2312" w:eastAsia="仿宋_GB2312"/>
          <w:b/>
          <w:sz w:val="32"/>
          <w:szCs w:val="32"/>
        </w:rPr>
        <w:t>主要职能</w:t>
      </w:r>
    </w:p>
    <w:p>
      <w:pPr>
        <w:numPr>
          <w:numId w:val="0"/>
        </w:numPr>
        <w:spacing w:line="600" w:lineRule="exact"/>
        <w:ind w:firstLine="640" w:firstLineChars="200"/>
        <w:rPr>
          <w:rFonts w:hint="eastAsia" w:ascii="仿宋_GB2312" w:eastAsia="仿宋_GB2312"/>
          <w:b/>
          <w:bCs/>
          <w:sz w:val="32"/>
          <w:szCs w:val="32"/>
          <w:lang w:val="en-US" w:eastAsia="zh-CN"/>
        </w:rPr>
      </w:pPr>
      <w:r>
        <w:rPr>
          <w:rFonts w:hint="eastAsia" w:ascii="仿宋_GB2312" w:eastAsia="仿宋_GB2312"/>
          <w:b w:val="0"/>
          <w:bCs w:val="0"/>
          <w:sz w:val="32"/>
          <w:szCs w:val="32"/>
          <w:lang w:val="en-US" w:eastAsia="zh-CN"/>
        </w:rPr>
        <w:t>县发展和改革局贯彻落实党中央、省委、市委、县委关于发展和改革工作的方针政策和决策部署，在履行职责过程中坚持和加强党对发展和改革工作的集中统一领导，主要职责是：</w:t>
      </w:r>
    </w:p>
    <w:p>
      <w:pPr>
        <w:pStyle w:val="5"/>
        <w:widowControl/>
        <w:wordWrap/>
        <w:adjustRightInd/>
        <w:snapToGrid/>
        <w:spacing w:before="0" w:beforeAutospacing="0" w:after="0" w:afterAutospacing="0" w:line="600" w:lineRule="exact"/>
        <w:ind w:left="0" w:right="0"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（一）</w:t>
      </w:r>
      <w:r>
        <w:rPr>
          <w:rFonts w:hint="eastAsia" w:ascii="仿宋_GB2312" w:hAnsi="Times New Roman" w:eastAsia="仿宋_GB2312" w:cs="Times New Roman"/>
          <w:kern w:val="2"/>
          <w:sz w:val="32"/>
          <w:szCs w:val="32"/>
          <w:lang w:val="en-US" w:eastAsia="zh-CN" w:bidi="ar-SA"/>
        </w:rPr>
        <w:t>拟定并组织实施全县国民经济和社会发展战略、中长期规划和年度计划，统筹协调经济社会发展，研究分析县内外经济形势，提出全县国民经济发展、价格总水平调控和优化重大经济结构的目标、政策，提出综合运用各种经济手段和政策的建议，受县人民政府委托向县人大提交国民经济和社会发展计划的报告。 </w:t>
      </w:r>
    </w:p>
    <w:p>
      <w:pPr>
        <w:pStyle w:val="5"/>
        <w:widowControl/>
        <w:wordWrap/>
        <w:adjustRightInd/>
        <w:snapToGrid/>
        <w:spacing w:before="0" w:beforeAutospacing="0" w:after="0" w:afterAutospacing="0" w:line="600" w:lineRule="exact"/>
        <w:ind w:left="0" w:right="0"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（二）监测全县宏观经济和社会发展态势，承担预测预警和信息引导的责任，研究宏观经济运行、总量平衡等重要问题并提出宏观调控政策建议。加强对宏观经济运行和社会发展情况的跟踪监测和分析。 </w:t>
      </w:r>
    </w:p>
    <w:p>
      <w:pPr>
        <w:pStyle w:val="5"/>
        <w:widowControl/>
        <w:wordWrap/>
        <w:adjustRightInd/>
        <w:snapToGrid/>
        <w:spacing w:before="0" w:beforeAutospacing="0" w:after="0" w:afterAutospacing="0" w:line="600" w:lineRule="exact"/>
        <w:ind w:left="0" w:right="0"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（三）承担规划全县重大建设项目和生产力布局的责任，拟定全社会固定资产投资总规模和投资结构的调控目标、政策及措施。按规定权限审核建设项目。 指导和协调全县招标投标工作。</w:t>
      </w:r>
    </w:p>
    <w:p>
      <w:pPr>
        <w:pStyle w:val="5"/>
        <w:widowControl/>
        <w:wordWrap/>
        <w:adjustRightInd/>
        <w:snapToGrid/>
        <w:spacing w:before="0" w:beforeAutospacing="0" w:after="0" w:afterAutospacing="0" w:line="600" w:lineRule="exact"/>
        <w:ind w:left="0" w:right="0"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四）推进全县经济结构战略性调整。组织拟定综合性产业政策，负责协调第一、二、三产业发展的重大问题衔接平衡相关发展规划和重大政策，做好与国民经济和社会发展规划、计划的衔接平衡；会同有关部门拟定服务业发展战略和重大政策，拟定现代物流业发展战略、规划。　　 </w:t>
      </w:r>
    </w:p>
    <w:p>
      <w:pPr>
        <w:pStyle w:val="5"/>
        <w:widowControl/>
        <w:wordWrap/>
        <w:adjustRightInd/>
        <w:snapToGrid/>
        <w:spacing w:before="0" w:beforeAutospacing="0" w:after="0" w:afterAutospacing="0" w:line="600" w:lineRule="exact"/>
        <w:ind w:left="0" w:right="0"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（五）推进可持续发展战略。负责全县节能降耗综合协调工作，具体负责全县固定资产投资项目节能评估和审查工作。 </w:t>
      </w:r>
    </w:p>
    <w:p>
      <w:pPr>
        <w:pStyle w:val="5"/>
        <w:widowControl/>
        <w:wordWrap/>
        <w:adjustRightInd/>
        <w:snapToGrid/>
        <w:spacing w:before="0" w:beforeAutospacing="0" w:after="0" w:afterAutospacing="0" w:line="600" w:lineRule="exact"/>
        <w:ind w:left="0" w:right="0"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（六） 组织实施国民经济动员有关工作。 </w:t>
      </w:r>
    </w:p>
    <w:p>
      <w:pPr>
        <w:widowControl w:val="0"/>
        <w:wordWrap/>
        <w:adjustRightInd/>
        <w:snapToGrid/>
        <w:spacing w:line="600" w:lineRule="exact"/>
        <w:ind w:firstLine="640" w:firstLineChars="200"/>
        <w:jc w:val="both"/>
        <w:textAlignment w:val="auto"/>
        <w:outlineLvl w:val="9"/>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（七）贯彻落实国家、省、市有关能源工作的法律、法规和政策，研究提出能源发展战略和政策建议；拟定能源发展规划并组织实施。</w:t>
      </w:r>
      <w:r>
        <w:rPr>
          <w:rFonts w:hint="eastAsia" w:ascii="仿宋_GB2312" w:hAnsi="仿宋_GB2312" w:eastAsia="仿宋_GB2312" w:cs="仿宋_GB2312"/>
          <w:color w:val="000000"/>
          <w:sz w:val="32"/>
          <w:szCs w:val="32"/>
          <w:u w:val="none"/>
        </w:rPr>
        <w:t>负责全</w:t>
      </w:r>
      <w:r>
        <w:rPr>
          <w:rFonts w:hint="eastAsia" w:ascii="仿宋_GB2312" w:hAnsi="仿宋_GB2312" w:eastAsia="仿宋_GB2312" w:cs="仿宋_GB2312"/>
          <w:color w:val="000000"/>
          <w:sz w:val="32"/>
          <w:szCs w:val="32"/>
          <w:u w:val="none"/>
          <w:lang w:eastAsia="zh-CN"/>
        </w:rPr>
        <w:t>县</w:t>
      </w:r>
      <w:r>
        <w:rPr>
          <w:rFonts w:hint="eastAsia" w:ascii="仿宋_GB2312" w:hAnsi="仿宋_GB2312" w:eastAsia="仿宋_GB2312" w:cs="仿宋_GB2312"/>
          <w:color w:val="000000"/>
          <w:sz w:val="32"/>
          <w:szCs w:val="32"/>
          <w:u w:val="none"/>
        </w:rPr>
        <w:t>能源行业管理。组织拟订全</w:t>
      </w:r>
      <w:r>
        <w:rPr>
          <w:rFonts w:hint="eastAsia" w:ascii="仿宋_GB2312" w:hAnsi="仿宋_GB2312" w:eastAsia="仿宋_GB2312" w:cs="仿宋_GB2312"/>
          <w:color w:val="000000"/>
          <w:sz w:val="32"/>
          <w:szCs w:val="32"/>
          <w:u w:val="none"/>
          <w:lang w:eastAsia="zh-CN"/>
        </w:rPr>
        <w:t>县</w:t>
      </w:r>
      <w:r>
        <w:rPr>
          <w:rFonts w:hint="eastAsia" w:ascii="仿宋_GB2312" w:hAnsi="仿宋_GB2312" w:eastAsia="仿宋_GB2312" w:cs="仿宋_GB2312"/>
          <w:color w:val="000000"/>
          <w:sz w:val="32"/>
          <w:szCs w:val="32"/>
          <w:u w:val="none"/>
        </w:rPr>
        <w:t>煤炭、电力</w:t>
      </w:r>
      <w:r>
        <w:rPr>
          <w:rFonts w:hint="eastAsia" w:ascii="仿宋_GB2312" w:hAnsi="仿宋_GB2312" w:eastAsia="仿宋_GB2312" w:cs="仿宋_GB2312"/>
          <w:color w:val="000000"/>
          <w:sz w:val="32"/>
          <w:szCs w:val="32"/>
          <w:u w:val="none"/>
          <w:lang w:eastAsia="zh-CN"/>
        </w:rPr>
        <w:t>、</w:t>
      </w:r>
      <w:r>
        <w:rPr>
          <w:rFonts w:hint="eastAsia" w:ascii="仿宋_GB2312" w:hAnsi="仿宋_GB2312" w:eastAsia="仿宋_GB2312" w:cs="仿宋_GB2312"/>
          <w:color w:val="000000"/>
          <w:sz w:val="32"/>
          <w:szCs w:val="32"/>
          <w:u w:val="none"/>
        </w:rPr>
        <w:t>石油、天然气、新能源和可再生能源等能源以及炼油等产业的相关标准并组织实施。</w:t>
      </w:r>
      <w:r>
        <w:rPr>
          <w:rFonts w:hint="eastAsia" w:ascii="仿宋_GB2312" w:eastAsia="仿宋_GB2312" w:cs="Times New Roman"/>
          <w:kern w:val="2"/>
          <w:sz w:val="32"/>
          <w:szCs w:val="32"/>
          <w:lang w:val="en-US" w:eastAsia="zh-CN" w:bidi="ar-SA"/>
        </w:rPr>
        <w:t>按县人民政府规定权限，负责审批、核准、审核能源固定资产投资项目，并负责组织项目竣工验收。负责能源预测预警，监测全县能源发展状况，发布能源信息，参与能源运行调节和应急保障。负责石油、天然气等管道建设和保护。指导协调新能源、可再生能源、农村电网和农村能源发展工作。协调电力发展和改革中的重大问题，负责电力运行管理。</w:t>
      </w:r>
      <w:r>
        <w:rPr>
          <w:rFonts w:hint="eastAsia" w:ascii="仿宋_GB2312" w:hAnsi="仿宋_GB2312" w:eastAsia="仿宋_GB2312" w:cs="仿宋_GB2312"/>
          <w:color w:val="000000"/>
          <w:sz w:val="32"/>
          <w:szCs w:val="32"/>
          <w:u w:val="none"/>
        </w:rPr>
        <w:t>负责供电营业区的划分、变更和《供电营业许可证》的颁发管理工作。</w:t>
      </w:r>
      <w:r>
        <w:rPr>
          <w:rFonts w:hint="eastAsia" w:ascii="仿宋_GB2312" w:eastAsia="仿宋_GB2312" w:cs="Times New Roman"/>
          <w:kern w:val="2"/>
          <w:sz w:val="32"/>
          <w:szCs w:val="32"/>
          <w:lang w:val="en-US" w:eastAsia="zh-CN" w:bidi="ar-SA"/>
        </w:rPr>
        <w:t>组织推进</w:t>
      </w:r>
      <w:r>
        <w:rPr>
          <w:rFonts w:hint="eastAsia" w:ascii="仿宋_GB2312" w:hAnsi="仿宋_GB2312" w:eastAsia="仿宋_GB2312" w:cs="仿宋_GB2312"/>
          <w:color w:val="000000"/>
          <w:sz w:val="32"/>
          <w:szCs w:val="32"/>
          <w:u w:val="none"/>
        </w:rPr>
        <w:t>能源重大设备研发及其相关重大科研项目</w:t>
      </w:r>
      <w:r>
        <w:rPr>
          <w:rFonts w:hint="eastAsia" w:ascii="仿宋_GB2312" w:hAnsi="仿宋_GB2312" w:eastAsia="仿宋_GB2312" w:cs="仿宋_GB2312"/>
          <w:color w:val="000000"/>
          <w:sz w:val="32"/>
          <w:szCs w:val="32"/>
          <w:u w:val="none"/>
          <w:lang w:eastAsia="zh-CN"/>
        </w:rPr>
        <w:t>，</w:t>
      </w:r>
      <w:r>
        <w:rPr>
          <w:rFonts w:hint="eastAsia" w:ascii="仿宋_GB2312" w:hAnsi="仿宋_GB2312" w:eastAsia="仿宋_GB2312" w:cs="仿宋_GB2312"/>
          <w:color w:val="000000"/>
          <w:sz w:val="32"/>
          <w:szCs w:val="32"/>
          <w:u w:val="none"/>
        </w:rPr>
        <w:t>指导能源科技进步、成套设备的引进消化创新</w:t>
      </w:r>
      <w:r>
        <w:rPr>
          <w:rFonts w:hint="eastAsia" w:ascii="仿宋_GB2312" w:hAnsi="仿宋_GB2312" w:eastAsia="仿宋_GB2312" w:cs="仿宋_GB2312"/>
          <w:color w:val="000000"/>
          <w:sz w:val="32"/>
          <w:szCs w:val="32"/>
          <w:u w:val="none"/>
          <w:lang w:eastAsia="zh-CN"/>
        </w:rPr>
        <w:t>，</w:t>
      </w:r>
      <w:r>
        <w:rPr>
          <w:rFonts w:hint="eastAsia" w:ascii="仿宋_GB2312" w:hAnsi="仿宋_GB2312" w:eastAsia="仿宋_GB2312" w:cs="仿宋_GB2312"/>
          <w:color w:val="000000"/>
          <w:sz w:val="32"/>
          <w:szCs w:val="32"/>
          <w:u w:val="none"/>
        </w:rPr>
        <w:t>组织协调相关重大示范工程、试点工程</w:t>
      </w:r>
      <w:r>
        <w:rPr>
          <w:rFonts w:hint="eastAsia" w:ascii="仿宋_GB2312" w:hAnsi="仿宋_GB2312" w:eastAsia="仿宋_GB2312" w:cs="仿宋_GB2312"/>
          <w:color w:val="000000"/>
          <w:sz w:val="32"/>
          <w:szCs w:val="32"/>
          <w:u w:val="none"/>
          <w:lang w:eastAsia="zh-CN"/>
        </w:rPr>
        <w:t>，</w:t>
      </w:r>
      <w:r>
        <w:rPr>
          <w:rFonts w:hint="eastAsia" w:ascii="仿宋_GB2312" w:hAnsi="仿宋_GB2312" w:eastAsia="仿宋_GB2312" w:cs="仿宋_GB2312"/>
          <w:color w:val="000000"/>
          <w:sz w:val="32"/>
          <w:szCs w:val="32"/>
          <w:u w:val="none"/>
        </w:rPr>
        <w:t>积极推广应用新产品、新技术</w:t>
      </w:r>
      <w:r>
        <w:rPr>
          <w:rFonts w:hint="eastAsia" w:ascii="仿宋_GB2312" w:hAnsi="仿宋_GB2312" w:eastAsia="仿宋_GB2312" w:cs="仿宋_GB2312"/>
          <w:color w:val="000000"/>
          <w:sz w:val="32"/>
          <w:szCs w:val="32"/>
          <w:u w:val="none"/>
          <w:lang w:eastAsia="zh-CN"/>
        </w:rPr>
        <w:t>、</w:t>
      </w:r>
      <w:r>
        <w:rPr>
          <w:rFonts w:hint="eastAsia" w:ascii="仿宋_GB2312" w:hAnsi="仿宋_GB2312" w:eastAsia="仿宋_GB2312" w:cs="仿宋_GB2312"/>
          <w:color w:val="000000"/>
          <w:sz w:val="32"/>
          <w:szCs w:val="32"/>
          <w:u w:val="none"/>
        </w:rPr>
        <w:t>新设备。</w:t>
      </w:r>
    </w:p>
    <w:p>
      <w:pPr>
        <w:pStyle w:val="5"/>
        <w:widowControl/>
        <w:wordWrap/>
        <w:adjustRightInd/>
        <w:snapToGrid/>
        <w:spacing w:before="0" w:beforeAutospacing="0" w:after="0" w:afterAutospacing="0" w:line="600" w:lineRule="exact"/>
        <w:ind w:left="0" w:right="0" w:firstLine="640" w:firstLineChars="200"/>
        <w:textAlignment w:val="auto"/>
        <w:rPr>
          <w:rFonts w:hint="eastAsia" w:ascii="仿宋_GB2312" w:hAnsi="仿宋_GB2312" w:eastAsia="仿宋_GB2312" w:cs="仿宋_GB2312"/>
          <w:color w:val="000000"/>
          <w:sz w:val="32"/>
          <w:szCs w:val="32"/>
          <w:u w:val="none"/>
          <w:lang w:eastAsia="zh-CN"/>
        </w:rPr>
      </w:pPr>
      <w:r>
        <w:rPr>
          <w:rFonts w:hint="eastAsia" w:ascii="仿宋_GB2312" w:eastAsia="仿宋_GB2312" w:cs="Times New Roman"/>
          <w:kern w:val="2"/>
          <w:sz w:val="32"/>
          <w:szCs w:val="32"/>
          <w:lang w:val="en-US" w:eastAsia="zh-CN" w:bidi="ar-SA"/>
        </w:rPr>
        <w:t>(八）</w:t>
      </w:r>
      <w:r>
        <w:rPr>
          <w:rFonts w:hint="eastAsia" w:ascii="仿宋_GB2312" w:hAnsi="仿宋_GB2312" w:eastAsia="仿宋_GB2312" w:cs="仿宋_GB2312"/>
          <w:sz w:val="32"/>
          <w:szCs w:val="32"/>
        </w:rPr>
        <w:t>牵头组织全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节能降耗工作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拟订年度工作计划并推动实施。承担能源行业节能降耗和资源综合利用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参与研究能源消费总量控制目标建议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指导、监督能源消费总量控制有关工作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衔接能源生产建设和供需平衡。</w:t>
      </w:r>
      <w:r>
        <w:rPr>
          <w:rFonts w:hint="eastAsia" w:ascii="仿宋_GB2312" w:hAnsi="仿宋_GB2312" w:eastAsia="仿宋_GB2312" w:cs="仿宋_GB2312"/>
          <w:color w:val="000000"/>
          <w:sz w:val="32"/>
          <w:szCs w:val="32"/>
          <w:u w:val="none"/>
        </w:rPr>
        <w:t>参与制定与能源相关的资源、环保及应对气候变化等政策</w:t>
      </w:r>
      <w:r>
        <w:rPr>
          <w:rFonts w:hint="eastAsia" w:ascii="仿宋_GB2312" w:hAnsi="仿宋_GB2312" w:eastAsia="仿宋_GB2312" w:cs="仿宋_GB2312"/>
          <w:color w:val="000000"/>
          <w:sz w:val="32"/>
          <w:szCs w:val="32"/>
          <w:u w:val="none"/>
          <w:lang w:eastAsia="zh-CN"/>
        </w:rPr>
        <w:t>，</w:t>
      </w:r>
      <w:r>
        <w:rPr>
          <w:rFonts w:hint="eastAsia" w:ascii="仿宋_GB2312" w:hAnsi="仿宋_GB2312" w:eastAsia="仿宋_GB2312" w:cs="仿宋_GB2312"/>
          <w:color w:val="000000"/>
          <w:sz w:val="32"/>
          <w:szCs w:val="32"/>
          <w:u w:val="none"/>
        </w:rPr>
        <w:t>提出能源价格调整和进出口总量建议</w:t>
      </w:r>
      <w:r>
        <w:rPr>
          <w:rFonts w:hint="eastAsia" w:ascii="仿宋_GB2312" w:hAnsi="仿宋_GB2312" w:eastAsia="仿宋_GB2312" w:cs="仿宋_GB2312"/>
          <w:color w:val="000000"/>
          <w:sz w:val="32"/>
          <w:szCs w:val="32"/>
          <w:u w:val="none"/>
          <w:lang w:eastAsia="zh-CN"/>
        </w:rPr>
        <w:t>。</w:t>
      </w:r>
    </w:p>
    <w:p>
      <w:pPr>
        <w:pStyle w:val="5"/>
        <w:widowControl/>
        <w:wordWrap/>
        <w:adjustRightInd/>
        <w:snapToGrid/>
        <w:spacing w:before="0" w:beforeAutospacing="0" w:after="0" w:afterAutospacing="0" w:line="600" w:lineRule="exact"/>
        <w:ind w:left="0" w:right="0"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（九） 执行政府管理的重要商品和服务项目价格，制定和调整县管重要商品、服务项目相关价格和收费标准。组织制定经济适用性住房、廉租房等享受政府优惠政策住房价格政策、作价办法及相关价格；组织重要商品价格和服务价格政府定价听证会；负责涉外商品价格管理工作。 </w:t>
      </w:r>
    </w:p>
    <w:p>
      <w:pPr>
        <w:pStyle w:val="5"/>
        <w:widowControl/>
        <w:wordWrap/>
        <w:adjustRightInd/>
        <w:snapToGrid/>
        <w:spacing w:before="0" w:beforeAutospacing="0" w:after="0" w:afterAutospacing="0" w:line="600" w:lineRule="exact"/>
        <w:ind w:left="0" w:right="0"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（十）承担价格鉴定、认证、评估的管理和监督工作，开展物价政策咨询服务工作；指导价格的社会监督、公共服务、信用建设等工作。 </w:t>
      </w:r>
    </w:p>
    <w:p>
      <w:pPr>
        <w:pStyle w:val="5"/>
        <w:widowControl/>
        <w:wordWrap/>
        <w:adjustRightInd/>
        <w:snapToGrid/>
        <w:spacing w:before="0" w:beforeAutospacing="0" w:after="0" w:afterAutospacing="0" w:line="600" w:lineRule="exact"/>
        <w:ind w:left="0" w:right="0"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（十一）负责组织对主要农产品、重要商品和服务项目价格的成本调查及定价成本监审工作。 </w:t>
      </w:r>
    </w:p>
    <w:p>
      <w:pPr>
        <w:pStyle w:val="5"/>
        <w:widowControl/>
        <w:wordWrap/>
        <w:adjustRightInd/>
        <w:snapToGrid/>
        <w:spacing w:before="0" w:beforeAutospacing="0" w:after="0" w:afterAutospacing="0" w:line="600" w:lineRule="exact"/>
        <w:ind w:left="0" w:right="0"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十二）研究提出全县粮食宏观调控、总量平衡以及粮食流通的中长期规划、粮食收储、动用县级储备粮的建议；研究提出粮食购销政策和最低收购价原则的建议并组织实施，拟订粮食收购市场准入指导标准。研究提出县级储备粮棉糖收购、销售、轮换计划并组织实施。归口管理全局统计工作，承担粮棉糖市场监测预警和全县粮食流通统计工作。承担粮食产销合作和全县军粮供应的相关工作。拟订全县粮食市场体系建设与发展规划并组织实施。拟订全县粮食产业发展规划并组织实施。</w:t>
      </w:r>
    </w:p>
    <w:p>
      <w:pPr>
        <w:pStyle w:val="5"/>
        <w:widowControl/>
        <w:wordWrap/>
        <w:adjustRightInd/>
        <w:snapToGrid/>
        <w:spacing w:before="0" w:beforeAutospacing="0" w:after="0" w:afterAutospacing="0" w:line="600" w:lineRule="exact"/>
        <w:ind w:left="0" w:right="0"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十三）拟订县级重要物资政策和规章制度并组织实施，研究提出健全县级重要物资储备体系的建议，研究提出县级重要物资储备规划、计划建议，组织实施县级重要物资储备的收储、轮换和日常管理。拟订县级原油、成品油、天然气收储、轮换和日常管理的政策和规章制度并组织实施，落实有关动用计划和指令。承担相关储备统计工作。</w:t>
      </w:r>
    </w:p>
    <w:p>
      <w:pPr>
        <w:pStyle w:val="5"/>
        <w:widowControl/>
        <w:wordWrap/>
        <w:adjustRightInd/>
        <w:snapToGrid/>
        <w:spacing w:before="0" w:beforeAutospacing="0" w:after="0" w:afterAutospacing="0" w:line="600" w:lineRule="exact"/>
        <w:ind w:left="0" w:right="0"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（十四） 划入的职能。承担工业和信息化局经济运行、节能降耗、能源管理职责；承担工业和信息化局、民政局全县重要物资和应急储备物资收储、轮换和日常管理。</w:t>
      </w:r>
    </w:p>
    <w:p>
      <w:pPr>
        <w:pStyle w:val="5"/>
        <w:widowControl/>
        <w:wordWrap/>
        <w:adjustRightInd/>
        <w:snapToGrid/>
        <w:spacing w:before="0" w:beforeAutospacing="0" w:after="0" w:afterAutospacing="0" w:line="600" w:lineRule="exact"/>
        <w:ind w:left="0" w:right="0"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（十五）完成县委、县政府交办的其他任务。</w:t>
      </w:r>
    </w:p>
    <w:p>
      <w:pPr>
        <w:spacing w:line="600" w:lineRule="exact"/>
        <w:ind w:firstLine="640" w:firstLineChars="2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20</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val="en-US" w:eastAsia="zh-CN"/>
        </w:rPr>
        <w:t>发展和改革局</w:t>
      </w:r>
      <w:r>
        <w:rPr>
          <w:rFonts w:hint="eastAsia" w:ascii="仿宋_GB2312" w:eastAsia="仿宋_GB2312"/>
          <w:sz w:val="32"/>
          <w:szCs w:val="32"/>
          <w:lang w:eastAsia="zh-CN"/>
        </w:rPr>
        <w:t>2020</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val="en-US" w:eastAsia="zh-CN"/>
        </w:rPr>
        <w:t>发展和改革局</w:t>
      </w:r>
      <w:r>
        <w:rPr>
          <w:rFonts w:hint="eastAsia" w:ascii="仿宋_GB2312" w:eastAsia="仿宋_GB2312"/>
          <w:sz w:val="32"/>
          <w:szCs w:val="32"/>
          <w:lang w:eastAsia="zh-CN"/>
        </w:rPr>
        <w:t>2020</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val="en-US" w:eastAsia="zh-CN"/>
        </w:rPr>
        <w:t xml:space="preserve">发展和改革局 </w:t>
      </w:r>
      <w:r>
        <w:rPr>
          <w:rFonts w:hint="eastAsia" w:ascii="仿宋_GB2312" w:eastAsia="仿宋_GB2312"/>
          <w:sz w:val="32"/>
          <w:szCs w:val="32"/>
          <w:lang w:eastAsia="zh-CN"/>
        </w:rPr>
        <w:t>2020</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val="en-US" w:eastAsia="zh-CN"/>
        </w:rPr>
        <w:t>发展和改革局</w:t>
      </w:r>
      <w:r>
        <w:rPr>
          <w:rFonts w:hint="eastAsia" w:ascii="仿宋_GB2312" w:eastAsia="仿宋_GB2312"/>
          <w:sz w:val="32"/>
          <w:szCs w:val="32"/>
          <w:lang w:eastAsia="zh-CN"/>
        </w:rPr>
        <w:t>2020</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val="en-US" w:eastAsia="zh-CN"/>
        </w:rPr>
        <w:t>发展和改革局</w:t>
      </w:r>
      <w:r>
        <w:rPr>
          <w:rFonts w:hint="eastAsia" w:ascii="仿宋_GB2312" w:eastAsia="仿宋_GB2312"/>
          <w:sz w:val="32"/>
          <w:szCs w:val="32"/>
          <w:lang w:eastAsia="zh-CN"/>
        </w:rPr>
        <w:t>2020</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val="en-US" w:eastAsia="zh-CN"/>
        </w:rPr>
        <w:t>发展和改革局</w:t>
      </w:r>
      <w:r>
        <w:rPr>
          <w:rFonts w:hint="eastAsia" w:ascii="仿宋_GB2312" w:eastAsia="仿宋_GB2312"/>
          <w:sz w:val="32"/>
          <w:szCs w:val="32"/>
          <w:lang w:eastAsia="zh-CN"/>
        </w:rPr>
        <w:t>2020</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val="en-US" w:eastAsia="zh-CN"/>
        </w:rPr>
        <w:t>发展和改革局</w:t>
      </w:r>
      <w:r>
        <w:rPr>
          <w:rFonts w:hint="eastAsia" w:ascii="仿宋_GB2312" w:eastAsia="仿宋_GB2312"/>
          <w:sz w:val="32"/>
          <w:szCs w:val="32"/>
          <w:lang w:eastAsia="zh-CN"/>
        </w:rPr>
        <w:t>2020</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val="en-US" w:eastAsia="zh-CN"/>
        </w:rPr>
        <w:t>发展和改革局</w:t>
      </w:r>
      <w:r>
        <w:rPr>
          <w:rFonts w:hint="eastAsia" w:ascii="仿宋_GB2312" w:eastAsia="仿宋_GB2312"/>
          <w:sz w:val="32"/>
          <w:szCs w:val="32"/>
          <w:lang w:eastAsia="zh-CN"/>
        </w:rPr>
        <w:t>2020</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val="en-US" w:eastAsia="zh-CN"/>
        </w:rPr>
        <w:t>发展和改革局</w:t>
      </w:r>
      <w:r>
        <w:rPr>
          <w:rFonts w:hint="eastAsia" w:ascii="仿宋_GB2312" w:eastAsia="仿宋_GB2312"/>
          <w:sz w:val="32"/>
          <w:szCs w:val="32"/>
          <w:lang w:eastAsia="zh-CN"/>
        </w:rPr>
        <w:t>2020</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val="en-US" w:eastAsia="zh-CN"/>
        </w:rPr>
        <w:t>发展和改革局</w:t>
      </w:r>
      <w:r>
        <w:rPr>
          <w:rFonts w:hint="eastAsia" w:ascii="仿宋_GB2312" w:eastAsia="仿宋_GB2312"/>
          <w:sz w:val="32"/>
          <w:szCs w:val="32"/>
          <w:lang w:eastAsia="zh-CN"/>
        </w:rPr>
        <w:t>2020</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hint="eastAsia" w:ascii="仿宋_GB2312" w:eastAsia="仿宋_GB2312"/>
          <w:sz w:val="32"/>
          <w:szCs w:val="32"/>
          <w:lang w:val="en-US" w:eastAsia="zh-CN"/>
        </w:rPr>
      </w:pPr>
      <w:r>
        <w:rPr>
          <w:rFonts w:hint="eastAsia" w:ascii="仿宋_GB2312" w:eastAsia="仿宋_GB2312"/>
          <w:sz w:val="32"/>
          <w:szCs w:val="32"/>
        </w:rPr>
        <w:t>浮山县</w:t>
      </w:r>
      <w:r>
        <w:rPr>
          <w:rFonts w:hint="eastAsia" w:ascii="仿宋_GB2312" w:eastAsia="仿宋_GB2312"/>
          <w:sz w:val="32"/>
          <w:szCs w:val="32"/>
          <w:lang w:val="en-US" w:eastAsia="zh-CN"/>
        </w:rPr>
        <w:t>发展和改革局</w:t>
      </w:r>
      <w:r>
        <w:rPr>
          <w:rFonts w:hint="eastAsia" w:ascii="仿宋_GB2312" w:eastAsia="仿宋_GB2312"/>
          <w:sz w:val="32"/>
          <w:szCs w:val="32"/>
          <w:lang w:eastAsia="zh-CN"/>
        </w:rPr>
        <w:t>2020</w:t>
      </w:r>
      <w:r>
        <w:rPr>
          <w:rFonts w:hint="eastAsia" w:ascii="仿宋_GB2312" w:eastAsia="仿宋_GB2312"/>
          <w:sz w:val="32"/>
          <w:szCs w:val="32"/>
        </w:rPr>
        <w:t>年部门预算</w:t>
      </w:r>
      <w:r>
        <w:rPr>
          <w:rFonts w:hint="eastAsia" w:ascii="仿宋_GB2312" w:eastAsia="仿宋_GB2312"/>
          <w:sz w:val="32"/>
          <w:szCs w:val="32"/>
          <w:lang w:val="en-US" w:eastAsia="zh-CN"/>
        </w:rPr>
        <w:t>235.41</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年预算增加</w:t>
      </w:r>
      <w:r>
        <w:rPr>
          <w:rFonts w:hint="eastAsia" w:ascii="仿宋_GB2312" w:eastAsia="仿宋_GB2312"/>
          <w:sz w:val="32"/>
          <w:szCs w:val="32"/>
          <w:lang w:eastAsia="zh-CN"/>
        </w:rPr>
        <w:t>（减少）</w:t>
      </w:r>
      <w:r>
        <w:rPr>
          <w:rFonts w:hint="eastAsia" w:ascii="仿宋_GB2312" w:eastAsia="仿宋_GB2312"/>
          <w:sz w:val="32"/>
          <w:szCs w:val="32"/>
          <w:lang w:val="en-US" w:eastAsia="zh-CN"/>
        </w:rPr>
        <w:t xml:space="preserve">270.71 </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 xml:space="preserve"> 13 %。</w:t>
      </w:r>
      <w:r>
        <w:rPr>
          <w:rFonts w:hint="eastAsia" w:ascii="仿宋_GB2312" w:eastAsia="仿宋_GB2312"/>
          <w:sz w:val="32"/>
          <w:szCs w:val="32"/>
        </w:rPr>
        <w:t>其中：工资福利支出比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val="en-US"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 xml:space="preserve">15.72 </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 xml:space="preserve">  7 %，</w:t>
      </w:r>
      <w:r>
        <w:rPr>
          <w:rFonts w:hint="eastAsia" w:ascii="仿宋_GB2312" w:eastAsia="仿宋_GB2312"/>
          <w:sz w:val="32"/>
          <w:szCs w:val="32"/>
          <w:lang w:eastAsia="zh-CN"/>
        </w:rPr>
        <w:t>减少</w:t>
      </w:r>
      <w:r>
        <w:rPr>
          <w:rFonts w:hint="eastAsia" w:ascii="仿宋_GB2312" w:eastAsia="仿宋_GB2312"/>
          <w:sz w:val="32"/>
          <w:szCs w:val="32"/>
        </w:rPr>
        <w:t>原因</w:t>
      </w:r>
      <w:r>
        <w:rPr>
          <w:rFonts w:hint="eastAsia" w:ascii="仿宋_GB2312" w:eastAsia="仿宋_GB2312"/>
          <w:sz w:val="32"/>
          <w:szCs w:val="32"/>
          <w:lang w:eastAsia="zh-CN"/>
        </w:rPr>
        <w:t>为</w:t>
      </w:r>
      <w:r>
        <w:rPr>
          <w:rFonts w:hint="eastAsia" w:ascii="仿宋_GB2312" w:eastAsia="仿宋_GB2312"/>
          <w:sz w:val="32"/>
          <w:szCs w:val="32"/>
          <w:lang w:val="en-US" w:eastAsia="zh-CN"/>
        </w:rPr>
        <w:t>人员调出，工资支出减少</w:t>
      </w:r>
      <w:r>
        <w:rPr>
          <w:rFonts w:hint="eastAsia" w:ascii="仿宋_GB2312" w:eastAsia="仿宋_GB2312"/>
          <w:sz w:val="32"/>
          <w:szCs w:val="32"/>
        </w:rPr>
        <w:t>。商品和服务支出比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 xml:space="preserve"> 2.36 </w:t>
      </w:r>
      <w:r>
        <w:rPr>
          <w:rFonts w:hint="eastAsia" w:ascii="仿宋_GB2312" w:eastAsia="仿宋_GB2312"/>
          <w:sz w:val="32"/>
          <w:szCs w:val="32"/>
        </w:rPr>
        <w:t>万元，</w:t>
      </w:r>
      <w:r>
        <w:rPr>
          <w:rFonts w:hint="eastAsia" w:ascii="仿宋_GB2312" w:eastAsia="仿宋_GB2312"/>
          <w:sz w:val="32"/>
          <w:szCs w:val="32"/>
          <w:lang w:eastAsia="zh-CN"/>
        </w:rPr>
        <w:t>减少率</w:t>
      </w:r>
      <w:r>
        <w:rPr>
          <w:rFonts w:hint="eastAsia" w:ascii="仿宋_GB2312" w:eastAsia="仿宋_GB2312"/>
          <w:sz w:val="32"/>
          <w:szCs w:val="32"/>
          <w:lang w:val="en-US" w:eastAsia="zh-CN"/>
        </w:rPr>
        <w:t>为9%。</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人员减少经费支出压缩</w:t>
      </w:r>
      <w:r>
        <w:rPr>
          <w:rFonts w:hint="eastAsia" w:ascii="仿宋_GB2312" w:eastAsia="仿宋_GB2312"/>
          <w:sz w:val="32"/>
          <w:szCs w:val="32"/>
        </w:rPr>
        <w:t>。对个人和家庭补助支出比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 xml:space="preserve">17.23 </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机构改革退休人员划分到两个单位，支出减少</w:t>
      </w:r>
      <w:r>
        <w:rPr>
          <w:rFonts w:hint="eastAsia" w:ascii="仿宋_GB2312" w:eastAsia="仿宋_GB2312"/>
          <w:sz w:val="32"/>
          <w:szCs w:val="32"/>
        </w:rPr>
        <w:t>。项目支出</w:t>
      </w:r>
      <w:r>
        <w:rPr>
          <w:rFonts w:hint="eastAsia" w:ascii="仿宋_GB2312" w:eastAsia="仿宋_GB2312"/>
          <w:sz w:val="32"/>
          <w:szCs w:val="32"/>
          <w:lang w:eastAsia="zh-CN"/>
        </w:rPr>
        <w:t>2020</w:t>
      </w:r>
      <w:r>
        <w:rPr>
          <w:rFonts w:hint="eastAsia" w:ascii="仿宋_GB2312" w:eastAsia="仿宋_GB2312"/>
          <w:sz w:val="32"/>
          <w:szCs w:val="32"/>
        </w:rPr>
        <w:t>年</w:t>
      </w:r>
      <w:r>
        <w:rPr>
          <w:rFonts w:hint="eastAsia" w:ascii="仿宋_GB2312" w:eastAsia="仿宋_GB2312"/>
          <w:sz w:val="32"/>
          <w:szCs w:val="32"/>
          <w:lang w:val="en-US" w:eastAsia="zh-CN"/>
        </w:rPr>
        <w:t>无。</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我单位</w:t>
      </w:r>
      <w:r>
        <w:rPr>
          <w:rFonts w:hint="eastAsia" w:ascii="仿宋_GB2312" w:eastAsia="仿宋_GB2312"/>
          <w:sz w:val="32"/>
          <w:szCs w:val="32"/>
          <w:lang w:val="en-US" w:eastAsia="zh-CN"/>
        </w:rPr>
        <w:t>2019年和2020年</w:t>
      </w:r>
      <w:r>
        <w:rPr>
          <w:rFonts w:hint="eastAsia" w:ascii="仿宋_GB2312" w:eastAsia="仿宋_GB2312"/>
          <w:sz w:val="32"/>
          <w:szCs w:val="32"/>
          <w:lang w:eastAsia="zh-CN"/>
        </w:rPr>
        <w:t>均无“三公”经费预算安排。</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发展和改革局</w:t>
      </w:r>
      <w:r>
        <w:rPr>
          <w:rFonts w:hint="eastAsia" w:ascii="仿宋_GB2312" w:eastAsia="仿宋_GB2312"/>
          <w:sz w:val="32"/>
          <w:szCs w:val="32"/>
          <w:lang w:eastAsia="zh-CN"/>
        </w:rPr>
        <w:t>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 xml:space="preserve">10.47   </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 xml:space="preserve">1.03 </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经费核减</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年浮山县</w:t>
      </w:r>
      <w:r>
        <w:rPr>
          <w:rFonts w:hint="eastAsia" w:ascii="仿宋_GB2312" w:eastAsia="仿宋_GB2312"/>
          <w:sz w:val="32"/>
          <w:szCs w:val="32"/>
          <w:lang w:val="en-US" w:eastAsia="zh-CN"/>
        </w:rPr>
        <w:t>发展和改革局</w:t>
      </w:r>
      <w:r>
        <w:rPr>
          <w:rFonts w:hint="eastAsia" w:ascii="仿宋_GB2312" w:eastAsia="仿宋_GB2312"/>
          <w:sz w:val="32"/>
          <w:szCs w:val="32"/>
        </w:rPr>
        <w:t>政府采购预算总额</w:t>
      </w:r>
      <w:r>
        <w:rPr>
          <w:rFonts w:hint="eastAsia" w:ascii="仿宋_GB2312" w:eastAsia="仿宋_GB2312"/>
          <w:sz w:val="32"/>
          <w:szCs w:val="32"/>
          <w:lang w:val="en-US" w:eastAsia="zh-CN"/>
        </w:rPr>
        <w:t>2.4</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2.4</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 xml:space="preserve">89.37    </w:t>
      </w:r>
      <w:r>
        <w:rPr>
          <w:rFonts w:hint="eastAsia" w:ascii="仿宋_GB2312" w:eastAsia="仿宋_GB2312"/>
          <w:sz w:val="32"/>
          <w:szCs w:val="32"/>
        </w:rPr>
        <w:t>万元。本单位共有车辆</w:t>
      </w:r>
      <w:r>
        <w:rPr>
          <w:rFonts w:hint="eastAsia" w:ascii="仿宋_GB2312" w:eastAsia="仿宋_GB2312"/>
          <w:sz w:val="32"/>
          <w:szCs w:val="32"/>
          <w:lang w:val="en-US" w:eastAsia="zh-CN"/>
        </w:rPr>
        <w:t xml:space="preserve"> 0</w:t>
      </w:r>
      <w:r>
        <w:rPr>
          <w:rFonts w:hint="eastAsia" w:ascii="仿宋_GB2312" w:eastAsia="仿宋_GB2312"/>
          <w:sz w:val="32"/>
          <w:szCs w:val="32"/>
        </w:rPr>
        <w:t>辆，其中一般公务用车</w:t>
      </w:r>
      <w:r>
        <w:rPr>
          <w:rFonts w:hint="eastAsia" w:ascii="仿宋_GB2312" w:eastAsia="仿宋_GB2312"/>
          <w:sz w:val="32"/>
          <w:szCs w:val="32"/>
          <w:lang w:val="en-US" w:eastAsia="zh-CN"/>
        </w:rPr>
        <w:t xml:space="preserve"> 0 </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2020年部门预算我单位无项目支出情况</w:t>
      </w:r>
    </w:p>
    <w:p>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4800" w:firstLineChars="1500"/>
        <w:jc w:val="right"/>
        <w:rPr>
          <w:rFonts w:hint="default" w:eastAsia="宋体"/>
          <w:lang w:val="en-US" w:eastAsia="zh-CN"/>
        </w:rPr>
      </w:pPr>
      <w:r>
        <w:rPr>
          <w:rFonts w:hint="eastAsia" w:ascii="仿宋_GB2312" w:eastAsia="仿宋_GB2312"/>
          <w:sz w:val="32"/>
          <w:szCs w:val="32"/>
          <w:lang w:val="en-US" w:eastAsia="zh-CN"/>
        </w:rPr>
        <w:t>2020年5</w:t>
      </w:r>
      <w:bookmarkStart w:id="0" w:name="_GoBack"/>
      <w:bookmarkEnd w:id="0"/>
      <w:r>
        <w:rPr>
          <w:rFonts w:hint="eastAsia" w:ascii="仿宋_GB2312" w:eastAsia="仿宋_GB2312"/>
          <w:sz w:val="32"/>
          <w:szCs w:val="32"/>
          <w:lang w:val="en-US" w:eastAsia="zh-CN"/>
        </w:rPr>
        <w:t>月20日</w:t>
      </w:r>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7"/>
        <w:rFonts w:ascii="宋体"/>
        <w:sz w:val="28"/>
        <w:szCs w:val="28"/>
      </w:rPr>
    </w:pPr>
    <w:r>
      <w:rPr>
        <w:rStyle w:val="7"/>
        <w:rFonts w:ascii="宋体" w:hAnsi="宋体"/>
        <w:sz w:val="28"/>
        <w:szCs w:val="28"/>
      </w:rPr>
      <w:t xml:space="preserve">— </w:t>
    </w: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18</w:t>
    </w:r>
    <w:r>
      <w:rPr>
        <w:rStyle w:val="7"/>
        <w:rFonts w:ascii="宋体" w:hAnsi="宋体"/>
        <w:sz w:val="28"/>
        <w:szCs w:val="28"/>
      </w:rPr>
      <w:fldChar w:fldCharType="end"/>
    </w:r>
    <w:r>
      <w:rPr>
        <w:rStyle w:val="7"/>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924046107">
    <w:nsid w:val="AE49671B"/>
    <w:multiLevelType w:val="singleLevel"/>
    <w:tmpl w:val="AE49671B"/>
    <w:lvl w:ilvl="0" w:tentative="1">
      <w:start w:val="2"/>
      <w:numFmt w:val="chineseCounting"/>
      <w:suff w:val="nothing"/>
      <w:lvlText w:val="%1、"/>
      <w:lvlJc w:val="left"/>
      <w:rPr>
        <w:rFonts w:hint="eastAsia"/>
      </w:rPr>
    </w:lvl>
  </w:abstractNum>
  <w:num w:numId="1">
    <w:abstractNumId w:val="292404610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7DB3037"/>
    <w:rsid w:val="088E0DB5"/>
    <w:rsid w:val="0E0A19CE"/>
    <w:rsid w:val="15BF6659"/>
    <w:rsid w:val="209D461C"/>
    <w:rsid w:val="2425476E"/>
    <w:rsid w:val="2503791B"/>
    <w:rsid w:val="27454545"/>
    <w:rsid w:val="28FA1063"/>
    <w:rsid w:val="29D361D6"/>
    <w:rsid w:val="2CC24722"/>
    <w:rsid w:val="2E467B19"/>
    <w:rsid w:val="339B7DDD"/>
    <w:rsid w:val="39D34F24"/>
    <w:rsid w:val="3B2A2450"/>
    <w:rsid w:val="3D2F7C22"/>
    <w:rsid w:val="4137205C"/>
    <w:rsid w:val="41EF5452"/>
    <w:rsid w:val="43B62FED"/>
    <w:rsid w:val="454761A2"/>
    <w:rsid w:val="48005682"/>
    <w:rsid w:val="487B2D61"/>
    <w:rsid w:val="4DC1729B"/>
    <w:rsid w:val="58D722C8"/>
    <w:rsid w:val="62CF3634"/>
    <w:rsid w:val="64214795"/>
    <w:rsid w:val="6CFE0545"/>
    <w:rsid w:val="6EC96B93"/>
    <w:rsid w:val="7C855BF2"/>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0"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99"/>
  </w:style>
  <w:style w:type="table" w:default="1" w:styleId="8">
    <w:name w:val="Normal Table"/>
    <w:unhideWhenUsed/>
    <w:qFormat/>
    <w:uiPriority w:val="99"/>
    <w:tblPr>
      <w:tblStyle w:val="8"/>
      <w:tblLayout w:type="fixed"/>
      <w:tblCellMar>
        <w:top w:w="0" w:type="dxa"/>
        <w:left w:w="108" w:type="dxa"/>
        <w:bottom w:w="0" w:type="dxa"/>
        <w:right w:w="108" w:type="dxa"/>
      </w:tblCellMar>
    </w:tblPr>
    <w:tcPr>
      <w:textDirection w:val="lrTb"/>
    </w:tcPr>
  </w:style>
  <w:style w:type="paragraph" w:styleId="2">
    <w:name w:val="Balloon Text"/>
    <w:basedOn w:val="1"/>
    <w:link w:val="10"/>
    <w:semiHidden/>
    <w:qFormat/>
    <w:locked/>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locked/>
    <w:uiPriority w:val="0"/>
    <w:pPr>
      <w:spacing w:before="0" w:beforeAutospacing="1" w:after="0" w:afterAutospacing="1"/>
      <w:ind w:left="0" w:right="0"/>
      <w:jc w:val="left"/>
    </w:pPr>
    <w:rPr>
      <w:kern w:val="0"/>
      <w:sz w:val="24"/>
      <w:lang w:val="en-US" w:eastAsia="zh-CN"/>
    </w:rPr>
  </w:style>
  <w:style w:type="character" w:styleId="7">
    <w:name w:val="page number"/>
    <w:basedOn w:val="6"/>
    <w:qFormat/>
    <w:uiPriority w:val="99"/>
    <w:rPr>
      <w:rFonts w:cs="Times New Roman"/>
    </w:rPr>
  </w:style>
  <w:style w:type="paragraph" w:customStyle="1" w:styleId="9">
    <w:name w:val="Char Char Char Char Char Char Char"/>
    <w:basedOn w:val="1"/>
    <w:qFormat/>
    <w:uiPriority w:val="99"/>
    <w:rPr>
      <w:rFonts w:ascii="Times New Roman" w:hAnsi="Times New Roman"/>
      <w:szCs w:val="24"/>
    </w:rPr>
  </w:style>
  <w:style w:type="character" w:customStyle="1" w:styleId="10">
    <w:name w:val="Balloon Text Char"/>
    <w:basedOn w:val="6"/>
    <w:link w:val="2"/>
    <w:semiHidden/>
    <w:qFormat/>
    <w:locked/>
    <w:uiPriority w:val="99"/>
    <w:rPr>
      <w:rFonts w:cs="Times New Roman"/>
      <w:sz w:val="2"/>
    </w:rPr>
  </w:style>
  <w:style w:type="character" w:customStyle="1" w:styleId="11">
    <w:name w:val="Footer Char"/>
    <w:basedOn w:val="6"/>
    <w:link w:val="3"/>
    <w:semiHidden/>
    <w:qFormat/>
    <w:locked/>
    <w:uiPriority w:val="99"/>
    <w:rPr>
      <w:rFonts w:cs="Times New Roman"/>
      <w:sz w:val="18"/>
      <w:szCs w:val="18"/>
    </w:rPr>
  </w:style>
  <w:style w:type="character" w:customStyle="1" w:styleId="12">
    <w:name w:val="Header Char"/>
    <w:basedOn w:val="6"/>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2020-05-20T10:26:02Z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