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hint="default" w:ascii="宋体" w:hAnsi="宋体"/>
          <w:b/>
          <w:sz w:val="44"/>
          <w:szCs w:val="44"/>
          <w:lang w:val="en-US" w:eastAsia="zh-CN"/>
        </w:rPr>
      </w:pPr>
      <w:r>
        <w:rPr>
          <w:rFonts w:hint="eastAsia" w:ascii="宋体" w:hAnsi="宋体"/>
          <w:b/>
          <w:sz w:val="44"/>
          <w:szCs w:val="44"/>
        </w:rPr>
        <w:t>浮山县</w:t>
      </w:r>
      <w:r>
        <w:rPr>
          <w:rFonts w:hint="eastAsia" w:ascii="宋体" w:hAnsi="宋体"/>
          <w:b/>
          <w:sz w:val="44"/>
          <w:szCs w:val="44"/>
          <w:lang w:val="en-US" w:eastAsia="zh-CN"/>
        </w:rPr>
        <w:t>东张乡人民政府</w:t>
      </w:r>
    </w:p>
    <w:p>
      <w:pPr>
        <w:spacing w:line="600" w:lineRule="exact"/>
        <w:jc w:val="center"/>
        <w:rPr>
          <w:rFonts w:hint="eastAsia" w:ascii="宋体" w:eastAsia="宋体"/>
          <w:b/>
          <w:sz w:val="44"/>
          <w:szCs w:val="44"/>
          <w:lang w:eastAsia="zh-CN"/>
        </w:rPr>
      </w:pPr>
      <w:r>
        <w:rPr>
          <w:rFonts w:hint="eastAsia" w:ascii="宋体" w:hAnsi="宋体"/>
          <w:b/>
          <w:sz w:val="44"/>
          <w:szCs w:val="44"/>
          <w:lang w:eastAsia="zh-CN"/>
        </w:rPr>
        <w:t>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beforeLines="200" w:line="600" w:lineRule="exact"/>
        <w:ind w:firstLine="643" w:firstLineChars="200"/>
        <w:rPr>
          <w:rFonts w:ascii="仿宋_GB2312" w:eastAsia="仿宋_GB2312"/>
          <w:b/>
          <w:sz w:val="32"/>
          <w:szCs w:val="32"/>
        </w:rPr>
      </w:pPr>
      <w:r>
        <w:rPr>
          <w:rFonts w:hint="eastAsia" w:ascii="仿宋_GB2312" w:eastAsia="仿宋_GB2312"/>
          <w:b/>
          <w:sz w:val="32"/>
          <w:szCs w:val="32"/>
        </w:rPr>
        <w:t>一、基本情况(包括机构设置情况）</w:t>
      </w:r>
    </w:p>
    <w:p>
      <w:pPr>
        <w:widowControl/>
        <w:wordWrap/>
        <w:adjustRightInd/>
        <w:snapToGrid/>
        <w:spacing w:before="292" w:beforeLines="50" w:line="560" w:lineRule="exact"/>
        <w:ind w:firstLine="641"/>
        <w:textAlignment w:val="auto"/>
        <w:rPr>
          <w:rFonts w:hint="eastAsia" w:ascii="仿宋_GB2312" w:hAnsi="仿宋_GB2312" w:eastAsia="仿宋_GB2312" w:cs="仿宋_GB2312"/>
          <w:sz w:val="32"/>
          <w:szCs w:val="32"/>
          <w:lang w:val="en-US" w:eastAsia="zh-CN"/>
        </w:rPr>
      </w:pP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乡人民政府是乡一级人民代表大会的执行机关，是乡一级地方国家行政机关，</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乡人民政府在浮山县人民政府及</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乡党委的领导下，承担组织</w:t>
      </w:r>
      <w:r>
        <w:rPr>
          <w:rFonts w:hint="eastAsia" w:ascii="仿宋_GB2312" w:hAnsi="楷体" w:eastAsia="仿宋_GB2312"/>
          <w:kern w:val="0"/>
          <w:sz w:val="32"/>
          <w:szCs w:val="32"/>
          <w:lang w:val="en-US" w:eastAsia="zh-CN"/>
        </w:rPr>
        <w:t>东张</w:t>
      </w:r>
      <w:r>
        <w:rPr>
          <w:rFonts w:hint="eastAsia" w:ascii="仿宋_GB2312" w:hAnsi="楷体" w:eastAsia="仿宋_GB2312"/>
          <w:kern w:val="0"/>
          <w:sz w:val="32"/>
          <w:szCs w:val="32"/>
        </w:rPr>
        <w:t>乡区域内的经济建设和管理行政事务的职能。具体机构设置如下：党政办、组宣办、民政办、综治办、农村经济发展和经营管理办公室、扶贫办、计生办、财政所、司法所、派出所、农技站、林业站、水利站、国土所、动物防疫站、经管站、劳保所、农技站。</w:t>
      </w:r>
    </w:p>
    <w:p>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pPr>
        <w:pStyle w:val="2"/>
        <w:spacing w:before="192" w:line="338" w:lineRule="auto"/>
        <w:ind w:left="120" w:right="278"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1、党政办：负责来人来访接待、值班、材料文件收发打印，后 勤保障、信息发布工作。</w:t>
      </w:r>
    </w:p>
    <w:p>
      <w:pPr>
        <w:pStyle w:val="2"/>
        <w:spacing w:before="3"/>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2、组宣办：负责组织工作，包括党员档案的管理、党费的收缴。</w:t>
      </w:r>
    </w:p>
    <w:p>
      <w:pPr>
        <w:pStyle w:val="2"/>
        <w:spacing w:before="171" w:line="338" w:lineRule="auto"/>
        <w:ind w:left="120" w:right="200"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3、民政办：负责社会保障、优抚、救灾救济、五保供养发放、 低保审批发放、敬老院管理工作。</w:t>
      </w:r>
    </w:p>
    <w:p>
      <w:pPr>
        <w:pStyle w:val="2"/>
        <w:spacing w:before="3"/>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4、综治办：负责政法、反邪教、征兵工作、矛盾纠纷排查处理。</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5、扶贫办：负责扶贫工作。</w:t>
      </w:r>
    </w:p>
    <w:p>
      <w:pPr>
        <w:pStyle w:val="2"/>
        <w:spacing w:before="168" w:line="340" w:lineRule="auto"/>
        <w:ind w:left="120" w:right="278" w:firstLine="64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6、计生办：负责人口与计划生育，包括办理准生证，征收社会 抚养费、农村奖励扶助、发放独生子女光荣证及保健费工作。</w:t>
      </w:r>
    </w:p>
    <w:p>
      <w:pPr>
        <w:pStyle w:val="2"/>
        <w:spacing w:line="407" w:lineRule="exact"/>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7、财政所：负责财政管理、税务管理工作。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8、司法所：负责司法调解、刑释解教管理、矛盾纠纷调处工作。</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9、派出所：负责社会治安、户籍管理工作。</w:t>
      </w:r>
    </w:p>
    <w:p>
      <w:pPr>
        <w:pStyle w:val="2"/>
        <w:spacing w:before="170"/>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10、农机站：负责农业技术推广、病虫害防治、农资供应工作。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11、林业站：负责林政管理、育林基金、砍伐审批工作。</w:t>
      </w:r>
    </w:p>
    <w:p>
      <w:pPr>
        <w:pStyle w:val="2"/>
        <w:spacing w:before="171"/>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12、水利站：负责水利建设、防洪防汛工作。</w:t>
      </w:r>
    </w:p>
    <w:p>
      <w:pPr>
        <w:pStyle w:val="2"/>
        <w:spacing w:before="170"/>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13、国土所：负责农村建房审批、土地规划工作。</w:t>
      </w:r>
    </w:p>
    <w:p>
      <w:pPr>
        <w:pStyle w:val="2"/>
        <w:spacing w:before="169"/>
        <w:ind w:left="760"/>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14、经管站：负责农村基层组织财务管理、村帐镇管工作。</w:t>
      </w:r>
    </w:p>
    <w:p>
      <w:pPr>
        <w:pStyle w:val="2"/>
        <w:spacing w:before="171" w:line="340" w:lineRule="auto"/>
        <w:ind w:left="120" w:right="280" w:firstLine="645"/>
        <w:rPr>
          <w:rFonts w:hint="eastAsia" w:ascii="仿宋_GB2312" w:hAnsi="Calibri" w:eastAsia="仿宋_GB2312" w:cs="Times New Roman"/>
          <w:kern w:val="2"/>
          <w:sz w:val="32"/>
          <w:szCs w:val="32"/>
          <w:lang w:val="en-US" w:eastAsia="zh-CN" w:bidi="ar-SA"/>
        </w:rPr>
      </w:pPr>
      <w:r>
        <w:rPr>
          <w:rFonts w:hint="eastAsia" w:ascii="仿宋_GB2312" w:hAnsi="Calibri" w:eastAsia="仿宋_GB2312" w:cs="Times New Roman"/>
          <w:kern w:val="2"/>
          <w:sz w:val="32"/>
          <w:szCs w:val="32"/>
          <w:lang w:val="en-US" w:eastAsia="zh-CN" w:bidi="ar-SA"/>
        </w:rPr>
        <w:t>15、劳保所：负责养老保险、劳务培训、劳务输出、劳动管理工作。</w:t>
      </w:r>
    </w:p>
    <w:p>
      <w:pPr>
        <w:numPr>
          <w:numId w:val="0"/>
        </w:numPr>
        <w:spacing w:line="600" w:lineRule="exact"/>
        <w:ind w:firstLine="640" w:firstLineChars="200"/>
        <w:rPr>
          <w:rFonts w:hint="eastAsia" w:ascii="黑体" w:eastAsia="黑体"/>
          <w:sz w:val="32"/>
          <w:szCs w:val="32"/>
        </w:rPr>
      </w:pPr>
      <w:r>
        <w:rPr>
          <w:rFonts w:hint="eastAsia" w:ascii="仿宋_GB2312" w:hAnsi="Calibri" w:eastAsia="仿宋_GB2312" w:cs="Times New Roman"/>
          <w:kern w:val="2"/>
          <w:sz w:val="32"/>
          <w:szCs w:val="32"/>
          <w:lang w:val="en-US" w:eastAsia="zh-CN" w:bidi="ar-SA"/>
        </w:rPr>
        <w:t>16、农机站：负责农机管理、农业机械推广工作。</w:t>
      </w: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黑体" w:eastAsia="黑体"/>
          <w:sz w:val="32"/>
          <w:szCs w:val="32"/>
        </w:rPr>
      </w:pPr>
    </w:p>
    <w:p>
      <w:pPr>
        <w:spacing w:line="600" w:lineRule="exact"/>
        <w:ind w:firstLine="2240" w:firstLineChars="700"/>
        <w:jc w:val="both"/>
        <w:rPr>
          <w:rFonts w:hint="eastAsia" w:ascii="仿宋_GB2312" w:eastAsia="仿宋_GB2312"/>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numPr>
          <w:ilvl w:val="0"/>
          <w:numId w:val="2"/>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年预算收支总表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二、</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年预算收入总表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三、</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年预算支出总表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四、</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年财政拨款收支总表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五、</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年一般公共预算支出预算表</w:t>
      </w:r>
    </w:p>
    <w:p>
      <w:pPr>
        <w:numPr>
          <w:ilvl w:val="0"/>
          <w:numId w:val="3"/>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年一般公共预算安排基本支出分经济科目表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七、</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年政府性基金预算收入预算表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八、</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年政府性基金预算支出预算表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九、</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年“三公”经费预算财政拨款情况统计表</w:t>
      </w:r>
    </w:p>
    <w:p>
      <w:pPr>
        <w:numPr>
          <w:numId w:val="0"/>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十、</w:t>
      </w: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w:t>
      </w:r>
      <w:r>
        <w:rPr>
          <w:rFonts w:hint="eastAsia" w:ascii="黑体" w:eastAsia="黑体"/>
          <w:sz w:val="32"/>
          <w:szCs w:val="32"/>
          <w:lang w:val="en-US" w:eastAsia="zh-CN"/>
        </w:rPr>
        <w:t>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w:t>
      </w:r>
      <w:r>
        <w:rPr>
          <w:rFonts w:hint="eastAsia" w:ascii="仿宋_GB2312" w:eastAsia="仿宋_GB2312"/>
          <w:b/>
          <w:sz w:val="32"/>
          <w:szCs w:val="32"/>
          <w:lang w:val="en-US" w:eastAsia="zh-CN"/>
        </w:rPr>
        <w:t>0</w:t>
      </w:r>
      <w:r>
        <w:rPr>
          <w:rFonts w:hint="eastAsia" w:ascii="仿宋_GB2312" w:eastAsia="仿宋_GB2312"/>
          <w:b/>
          <w:sz w:val="32"/>
          <w:szCs w:val="32"/>
        </w:rPr>
        <w:t>年度部门预算数据变动情况及原因</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年部门预算</w:t>
      </w:r>
      <w:r>
        <w:rPr>
          <w:rFonts w:hint="eastAsia" w:ascii="仿宋_GB2312" w:eastAsia="仿宋_GB2312"/>
          <w:sz w:val="32"/>
          <w:szCs w:val="32"/>
          <w:lang w:val="en-US" w:eastAsia="zh-CN"/>
        </w:rPr>
        <w:t>628.36</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年预算</w:t>
      </w:r>
      <w:r>
        <w:rPr>
          <w:rFonts w:hint="eastAsia" w:ascii="仿宋_GB2312" w:eastAsia="仿宋_GB2312"/>
          <w:sz w:val="32"/>
          <w:szCs w:val="32"/>
          <w:lang w:val="en-US" w:eastAsia="zh-CN"/>
        </w:rPr>
        <w:t>减少44.87</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减少</w:t>
      </w:r>
      <w:r>
        <w:rPr>
          <w:rFonts w:hint="eastAsia" w:ascii="仿宋_GB2312" w:eastAsia="仿宋_GB2312"/>
          <w:sz w:val="32"/>
          <w:szCs w:val="32"/>
          <w:lang w:eastAsia="zh-CN"/>
        </w:rPr>
        <w:t>率为</w:t>
      </w:r>
      <w:r>
        <w:rPr>
          <w:rFonts w:hint="eastAsia" w:ascii="仿宋_GB2312" w:eastAsia="仿宋_GB2312"/>
          <w:sz w:val="32"/>
          <w:szCs w:val="32"/>
          <w:lang w:val="en-US" w:eastAsia="zh-CN"/>
        </w:rPr>
        <w:t>6.66%。</w:t>
      </w:r>
      <w:r>
        <w:rPr>
          <w:rFonts w:hint="eastAsia" w:ascii="仿宋_GB2312" w:eastAsia="仿宋_GB2312"/>
          <w:sz w:val="32"/>
          <w:szCs w:val="32"/>
        </w:rPr>
        <w:t>其中：工资福利支出比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11.18</w:t>
      </w:r>
      <w:r>
        <w:rPr>
          <w:rFonts w:hint="eastAsia" w:ascii="仿宋_GB2312" w:eastAsia="仿宋_GB2312"/>
          <w:sz w:val="32"/>
          <w:szCs w:val="32"/>
        </w:rPr>
        <w:t>万元，</w:t>
      </w:r>
      <w:r>
        <w:rPr>
          <w:rFonts w:hint="eastAsia" w:ascii="仿宋_GB2312" w:eastAsia="仿宋_GB2312"/>
          <w:sz w:val="32"/>
          <w:szCs w:val="32"/>
          <w:lang w:val="en-US" w:eastAsia="zh-CN"/>
        </w:rPr>
        <w:t>减少</w:t>
      </w:r>
      <w:r>
        <w:rPr>
          <w:rFonts w:hint="eastAsia" w:ascii="仿宋_GB2312" w:eastAsia="仿宋_GB2312"/>
          <w:sz w:val="32"/>
          <w:szCs w:val="32"/>
          <w:lang w:eastAsia="zh-CN"/>
        </w:rPr>
        <w:t>率为</w:t>
      </w:r>
      <w:r>
        <w:rPr>
          <w:rFonts w:hint="eastAsia" w:ascii="仿宋_GB2312" w:eastAsia="仿宋_GB2312"/>
          <w:sz w:val="32"/>
          <w:szCs w:val="32"/>
          <w:lang w:val="en-US" w:eastAsia="zh-CN"/>
        </w:rPr>
        <w:t>3.52%。减少</w:t>
      </w:r>
      <w:r>
        <w:rPr>
          <w:rFonts w:hint="eastAsia" w:ascii="仿宋_GB2312" w:eastAsia="仿宋_GB2312"/>
          <w:sz w:val="32"/>
          <w:szCs w:val="32"/>
        </w:rPr>
        <w:t>原因为</w:t>
      </w:r>
      <w:r>
        <w:rPr>
          <w:rFonts w:hint="eastAsia" w:ascii="仿宋_GB2312" w:eastAsia="仿宋_GB2312"/>
          <w:sz w:val="32"/>
          <w:szCs w:val="32"/>
          <w:lang w:val="en-US" w:eastAsia="zh-CN"/>
        </w:rPr>
        <w:t>人员退休及调动</w:t>
      </w:r>
      <w:r>
        <w:rPr>
          <w:rFonts w:hint="eastAsia" w:ascii="仿宋_GB2312" w:eastAsia="仿宋_GB2312"/>
          <w:sz w:val="32"/>
          <w:szCs w:val="32"/>
        </w:rPr>
        <w:t>。商品和服务支出比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6.93</w:t>
      </w:r>
      <w:r>
        <w:rPr>
          <w:rFonts w:hint="eastAsia" w:ascii="仿宋_GB2312" w:eastAsia="仿宋_GB2312"/>
          <w:sz w:val="32"/>
          <w:szCs w:val="32"/>
        </w:rPr>
        <w:t>万元，</w:t>
      </w:r>
      <w:r>
        <w:rPr>
          <w:rFonts w:hint="eastAsia" w:ascii="仿宋_GB2312" w:eastAsia="仿宋_GB2312"/>
          <w:sz w:val="32"/>
          <w:szCs w:val="32"/>
          <w:lang w:val="en-US" w:eastAsia="zh-CN"/>
        </w:rPr>
        <w:t>增加</w:t>
      </w:r>
      <w:r>
        <w:rPr>
          <w:rFonts w:hint="eastAsia" w:ascii="仿宋_GB2312" w:eastAsia="仿宋_GB2312"/>
          <w:sz w:val="32"/>
          <w:szCs w:val="32"/>
          <w:lang w:eastAsia="zh-CN"/>
        </w:rPr>
        <w:t>率为</w:t>
      </w:r>
      <w:r>
        <w:rPr>
          <w:rFonts w:hint="eastAsia" w:ascii="仿宋_GB2312" w:eastAsia="仿宋_GB2312"/>
          <w:sz w:val="32"/>
          <w:szCs w:val="32"/>
          <w:lang w:val="en-US" w:eastAsia="zh-CN"/>
        </w:rPr>
        <w:t>8.93%。增加</w:t>
      </w:r>
      <w:r>
        <w:rPr>
          <w:rFonts w:hint="eastAsia" w:ascii="仿宋_GB2312" w:eastAsia="仿宋_GB2312"/>
          <w:sz w:val="32"/>
          <w:szCs w:val="32"/>
        </w:rPr>
        <w:t>原因为随着扶贫工作的</w:t>
      </w:r>
      <w:r>
        <w:rPr>
          <w:rFonts w:hint="eastAsia" w:ascii="仿宋_GB2312" w:eastAsia="仿宋_GB2312"/>
          <w:sz w:val="32"/>
          <w:szCs w:val="32"/>
          <w:lang w:val="en-US" w:eastAsia="zh-CN"/>
        </w:rPr>
        <w:t>推进</w:t>
      </w:r>
      <w:r>
        <w:rPr>
          <w:rFonts w:hint="eastAsia" w:ascii="仿宋_GB2312" w:eastAsia="仿宋_GB2312"/>
          <w:sz w:val="32"/>
          <w:szCs w:val="32"/>
        </w:rPr>
        <w:t>，印刷费、办公费大幅度</w:t>
      </w:r>
      <w:r>
        <w:rPr>
          <w:rFonts w:hint="eastAsia" w:ascii="仿宋_GB2312" w:eastAsia="仿宋_GB2312"/>
          <w:sz w:val="32"/>
          <w:szCs w:val="32"/>
          <w:lang w:val="en-US" w:eastAsia="zh-CN"/>
        </w:rPr>
        <w:t>上升</w:t>
      </w:r>
      <w:r>
        <w:rPr>
          <w:rFonts w:hint="eastAsia" w:ascii="仿宋_GB2312" w:eastAsia="仿宋_GB2312"/>
          <w:sz w:val="32"/>
          <w:szCs w:val="32"/>
        </w:rPr>
        <w:t>。对个人和家庭补助支出比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17.55</w:t>
      </w:r>
      <w:r>
        <w:rPr>
          <w:rFonts w:hint="eastAsia" w:ascii="仿宋_GB2312" w:eastAsia="仿宋_GB2312"/>
          <w:sz w:val="32"/>
          <w:szCs w:val="32"/>
        </w:rPr>
        <w:t>万元</w:t>
      </w:r>
      <w:r>
        <w:rPr>
          <w:rFonts w:hint="eastAsia" w:ascii="仿宋_GB2312" w:eastAsia="仿宋_GB2312"/>
          <w:sz w:val="32"/>
          <w:szCs w:val="32"/>
          <w:lang w:val="en-US" w:eastAsia="zh-CN"/>
        </w:rPr>
        <w:t>。增加原因为新增退休人员</w:t>
      </w:r>
      <w:r>
        <w:rPr>
          <w:rFonts w:hint="eastAsia" w:ascii="仿宋_GB2312" w:eastAsia="仿宋_GB2312"/>
          <w:sz w:val="32"/>
          <w:szCs w:val="32"/>
        </w:rPr>
        <w:t>。项目支出</w:t>
      </w:r>
      <w:r>
        <w:rPr>
          <w:rFonts w:hint="eastAsia" w:ascii="仿宋_GB2312" w:eastAsia="仿宋_GB2312"/>
          <w:sz w:val="32"/>
          <w:szCs w:val="32"/>
          <w:lang w:eastAsia="zh-CN"/>
        </w:rPr>
        <w:t>20</w:t>
      </w:r>
      <w:r>
        <w:rPr>
          <w:rFonts w:hint="eastAsia" w:ascii="仿宋_GB2312" w:eastAsia="仿宋_GB2312"/>
          <w:sz w:val="32"/>
          <w:szCs w:val="32"/>
          <w:lang w:val="en-US" w:eastAsia="zh-CN"/>
        </w:rPr>
        <w:t>20</w:t>
      </w:r>
      <w:r>
        <w:rPr>
          <w:rFonts w:hint="eastAsia" w:ascii="仿宋_GB2312" w:eastAsia="仿宋_GB2312"/>
          <w:sz w:val="32"/>
          <w:szCs w:val="32"/>
        </w:rPr>
        <w:t>年比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减少58.1万元，减少原因为合并行政村村级管理费和村干部工资的减少</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7.72</w:t>
      </w:r>
      <w:r>
        <w:rPr>
          <w:rFonts w:hint="eastAsia" w:ascii="仿宋_GB2312" w:eastAsia="仿宋_GB2312"/>
          <w:sz w:val="32"/>
          <w:szCs w:val="32"/>
        </w:rPr>
        <w:t>万元，比</w:t>
      </w:r>
      <w:r>
        <w:rPr>
          <w:rFonts w:hint="eastAsia" w:ascii="仿宋_GB2312" w:eastAsia="仿宋_GB2312"/>
          <w:sz w:val="32"/>
          <w:szCs w:val="32"/>
          <w:lang w:eastAsia="zh-CN"/>
        </w:rPr>
        <w:t>上年</w:t>
      </w:r>
      <w:r>
        <w:rPr>
          <w:rFonts w:hint="eastAsia" w:ascii="仿宋_GB2312" w:eastAsia="仿宋_GB2312"/>
          <w:sz w:val="32"/>
          <w:szCs w:val="32"/>
          <w:lang w:val="en-US" w:eastAsia="zh-CN"/>
        </w:rPr>
        <w:t>减少3.42</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主要原因是厉行节约，大力压缩不必要支出。</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6.9</w:t>
      </w:r>
      <w:r>
        <w:rPr>
          <w:rFonts w:hint="eastAsia" w:ascii="仿宋_GB2312" w:eastAsia="仿宋_GB2312"/>
          <w:sz w:val="32"/>
          <w:szCs w:val="32"/>
        </w:rPr>
        <w:t>万元，比上年</w:t>
      </w:r>
      <w:r>
        <w:rPr>
          <w:rFonts w:hint="eastAsia" w:ascii="仿宋_GB2312" w:eastAsia="仿宋_GB2312"/>
          <w:sz w:val="32"/>
          <w:szCs w:val="32"/>
          <w:lang w:val="en-US" w:eastAsia="zh-CN"/>
        </w:rPr>
        <w:t>减少2.74</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东张乡人民政府</w:t>
      </w: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84.57</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6.93</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增加</w:t>
      </w:r>
      <w:r>
        <w:rPr>
          <w:rFonts w:hint="eastAsia" w:ascii="仿宋_GB2312" w:eastAsia="仿宋_GB2312"/>
          <w:sz w:val="32"/>
          <w:szCs w:val="32"/>
        </w:rPr>
        <w:t>原因为随着扶贫工作的</w:t>
      </w:r>
      <w:r>
        <w:rPr>
          <w:rFonts w:hint="eastAsia" w:ascii="仿宋_GB2312" w:eastAsia="仿宋_GB2312"/>
          <w:sz w:val="32"/>
          <w:szCs w:val="32"/>
          <w:lang w:val="en-US" w:eastAsia="zh-CN"/>
        </w:rPr>
        <w:t>推进</w:t>
      </w:r>
      <w:r>
        <w:rPr>
          <w:rFonts w:hint="eastAsia" w:ascii="仿宋_GB2312" w:eastAsia="仿宋_GB2312"/>
          <w:sz w:val="32"/>
          <w:szCs w:val="32"/>
        </w:rPr>
        <w:t>，印刷费、办公费大幅度</w:t>
      </w:r>
      <w:r>
        <w:rPr>
          <w:rFonts w:hint="eastAsia" w:ascii="仿宋_GB2312" w:eastAsia="仿宋_GB2312"/>
          <w:sz w:val="32"/>
          <w:szCs w:val="32"/>
          <w:lang w:val="en-US" w:eastAsia="zh-CN"/>
        </w:rPr>
        <w:t>上升</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w:t>
      </w:r>
      <w:r>
        <w:rPr>
          <w:rFonts w:hint="eastAsia" w:ascii="仿宋_GB2312" w:eastAsia="仿宋_GB2312"/>
          <w:sz w:val="32"/>
          <w:szCs w:val="32"/>
          <w:lang w:val="en-US" w:eastAsia="zh-CN"/>
        </w:rPr>
        <w:t>0</w:t>
      </w:r>
      <w:r>
        <w:rPr>
          <w:rFonts w:hint="eastAsia" w:ascii="仿宋_GB2312" w:eastAsia="仿宋_GB2312"/>
          <w:sz w:val="32"/>
          <w:szCs w:val="32"/>
        </w:rPr>
        <w:t>年浮山县</w:t>
      </w:r>
      <w:r>
        <w:rPr>
          <w:rFonts w:hint="eastAsia" w:ascii="仿宋_GB2312" w:eastAsia="仿宋_GB2312"/>
          <w:sz w:val="32"/>
          <w:szCs w:val="32"/>
          <w:lang w:val="en-US" w:eastAsia="zh-CN"/>
        </w:rPr>
        <w:t>浮山县东张乡人民政府</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12.8 </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12.8</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441.44</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2020年部门预算我单位无重点项目支出情况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2020年5月20日</w:t>
      </w:r>
    </w:p>
    <w:sectPr>
      <w:headerReference r:id="rId6" w:type="first"/>
      <w:footerReference r:id="rId9" w:type="first"/>
      <w:headerReference r:id="rId4" w:type="default"/>
      <w:footerReference r:id="rId7" w:type="default"/>
      <w:headerReference r:id="rId5" w:type="even"/>
      <w:footerReference r:id="rId8" w:type="even"/>
      <w:pgSz w:w="11906" w:h="16838"/>
      <w:pgMar w:top="1814" w:right="1474" w:bottom="1814"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3445410089">
    <w:nsid w:val="CD5CC929"/>
    <w:multiLevelType w:val="singleLevel"/>
    <w:tmpl w:val="CD5CC929"/>
    <w:lvl w:ilvl="0" w:tentative="1">
      <w:start w:val="2"/>
      <w:numFmt w:val="chineseCounting"/>
      <w:suff w:val="nothing"/>
      <w:lvlText w:val="%1、"/>
      <w:lvlJc w:val="left"/>
      <w:rPr>
        <w:rFonts w:hint="eastAsia"/>
      </w:rPr>
    </w:lvl>
  </w:abstractNum>
  <w:abstractNum w:abstractNumId="566001646">
    <w:nsid w:val="21BC7FEE"/>
    <w:multiLevelType w:val="singleLevel"/>
    <w:tmpl w:val="21BC7FEE"/>
    <w:lvl w:ilvl="0" w:tentative="1">
      <w:start w:val="1"/>
      <w:numFmt w:val="chineseCounting"/>
      <w:suff w:val="nothing"/>
      <w:lvlText w:val="%1、"/>
      <w:lvlJc w:val="left"/>
      <w:rPr>
        <w:rFonts w:hint="eastAsia"/>
      </w:rPr>
    </w:lvl>
  </w:abstractNum>
  <w:abstractNum w:abstractNumId="4149946821">
    <w:nsid w:val="F75B29C5"/>
    <w:multiLevelType w:val="singleLevel"/>
    <w:tmpl w:val="F75B29C5"/>
    <w:lvl w:ilvl="0" w:tentative="1">
      <w:start w:val="6"/>
      <w:numFmt w:val="chineseCounting"/>
      <w:suff w:val="nothing"/>
      <w:lvlText w:val="%1、"/>
      <w:lvlJc w:val="left"/>
      <w:rPr>
        <w:rFonts w:hint="eastAsia"/>
      </w:rPr>
    </w:lvl>
  </w:abstractNum>
  <w:num w:numId="1">
    <w:abstractNumId w:val="3445410089"/>
  </w:num>
  <w:num w:numId="2">
    <w:abstractNumId w:val="566001646"/>
  </w:num>
  <w:num w:numId="3">
    <w:abstractNumId w:val="41499468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58016BB"/>
    <w:rsid w:val="07883C08"/>
    <w:rsid w:val="07DB3037"/>
    <w:rsid w:val="088E0DB5"/>
    <w:rsid w:val="0A4A0B0F"/>
    <w:rsid w:val="0B0D7817"/>
    <w:rsid w:val="0BCA70F4"/>
    <w:rsid w:val="0E0A19CE"/>
    <w:rsid w:val="15B31E17"/>
    <w:rsid w:val="15BF6659"/>
    <w:rsid w:val="16F65AF7"/>
    <w:rsid w:val="1E2B2441"/>
    <w:rsid w:val="1E431390"/>
    <w:rsid w:val="209D461C"/>
    <w:rsid w:val="2298684E"/>
    <w:rsid w:val="2425476E"/>
    <w:rsid w:val="244E69C6"/>
    <w:rsid w:val="24EB059E"/>
    <w:rsid w:val="2503791B"/>
    <w:rsid w:val="27454545"/>
    <w:rsid w:val="28FA1063"/>
    <w:rsid w:val="29D361D6"/>
    <w:rsid w:val="2CC24722"/>
    <w:rsid w:val="2E467B19"/>
    <w:rsid w:val="31A3212D"/>
    <w:rsid w:val="339B7DDD"/>
    <w:rsid w:val="389D7A46"/>
    <w:rsid w:val="38F241B1"/>
    <w:rsid w:val="39C426D1"/>
    <w:rsid w:val="39D34F24"/>
    <w:rsid w:val="3D2F7C22"/>
    <w:rsid w:val="401E3238"/>
    <w:rsid w:val="4137205C"/>
    <w:rsid w:val="41EF5452"/>
    <w:rsid w:val="43754700"/>
    <w:rsid w:val="43B62FED"/>
    <w:rsid w:val="454761A2"/>
    <w:rsid w:val="459C2E5D"/>
    <w:rsid w:val="466C678E"/>
    <w:rsid w:val="48005682"/>
    <w:rsid w:val="487B2D61"/>
    <w:rsid w:val="4C855450"/>
    <w:rsid w:val="4DC1729B"/>
    <w:rsid w:val="4E236D03"/>
    <w:rsid w:val="50F4279B"/>
    <w:rsid w:val="514B1914"/>
    <w:rsid w:val="524F5D00"/>
    <w:rsid w:val="54995D71"/>
    <w:rsid w:val="577E3C4D"/>
    <w:rsid w:val="592A2117"/>
    <w:rsid w:val="5E434283"/>
    <w:rsid w:val="62CF3634"/>
    <w:rsid w:val="684D0216"/>
    <w:rsid w:val="6CFE0545"/>
    <w:rsid w:val="6E44479C"/>
    <w:rsid w:val="6EC96B93"/>
    <w:rsid w:val="720B0193"/>
    <w:rsid w:val="7913150C"/>
    <w:rsid w:val="7A640566"/>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qFormat="1" w:unhideWhenUsed="0" w:uiPriority="1"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Body Text"/>
    <w:basedOn w:val="1"/>
    <w:qFormat/>
    <w:locked/>
    <w:uiPriority w:val="1"/>
    <w:rPr>
      <w:rFonts w:ascii="仿宋" w:hAnsi="仿宋" w:eastAsia="仿宋" w:cs="仿宋"/>
      <w:sz w:val="32"/>
      <w:szCs w:val="32"/>
    </w:rPr>
  </w:style>
  <w:style w:type="paragraph" w:styleId="3">
    <w:name w:val="Balloon Text"/>
    <w:basedOn w:val="1"/>
    <w:link w:val="10"/>
    <w:semiHidden/>
    <w:qFormat/>
    <w:locked/>
    <w:uiPriority w:val="99"/>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9">
    <w:name w:val="Char Char Char Char Char Char Char"/>
    <w:basedOn w:val="1"/>
    <w:qFormat/>
    <w:uiPriority w:val="99"/>
    <w:rPr>
      <w:rFonts w:ascii="Times New Roman" w:hAnsi="Times New Roman"/>
      <w:szCs w:val="24"/>
    </w:rPr>
  </w:style>
  <w:style w:type="character" w:customStyle="1" w:styleId="10">
    <w:name w:val="Balloon Text Char"/>
    <w:basedOn w:val="6"/>
    <w:link w:val="3"/>
    <w:semiHidden/>
    <w:qFormat/>
    <w:locked/>
    <w:uiPriority w:val="99"/>
    <w:rPr>
      <w:rFonts w:cs="Times New Roman"/>
      <w:sz w:val="2"/>
    </w:rPr>
  </w:style>
  <w:style w:type="character" w:customStyle="1" w:styleId="11">
    <w:name w:val="Footer Char"/>
    <w:basedOn w:val="6"/>
    <w:link w:val="4"/>
    <w:semiHidden/>
    <w:qFormat/>
    <w:locked/>
    <w:uiPriority w:val="99"/>
    <w:rPr>
      <w:rFonts w:cs="Times New Roman"/>
      <w:sz w:val="18"/>
      <w:szCs w:val="18"/>
    </w:rPr>
  </w:style>
  <w:style w:type="character" w:customStyle="1" w:styleId="12">
    <w:name w:val="Header Char"/>
    <w:basedOn w:val="6"/>
    <w:link w:val="5"/>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2020-05-20T10:26:34Z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y fmtid="{D5CDD505-2E9C-101B-9397-08002B2CF9AE}" pid="3" name="ICV">
    <vt:lpwstr>11EB955DF3F6478CB364EC40D99DED3D</vt:lpwstr>
  </property>
</Properties>
</file>