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600" w:lineRule="exact"/>
        <w:ind w:firstLine="640" w:firstLineChars="200"/>
        <w:textAlignment w:val="auto"/>
        <w:rPr>
          <w:rFonts w:ascii="??_GB2312" w:eastAsia="Times New Roman"/>
          <w:sz w:val="32"/>
          <w:szCs w:val="32"/>
        </w:rPr>
      </w:pPr>
    </w:p>
    <w:p>
      <w:pPr>
        <w:widowControl w:val="0"/>
        <w:wordWrap/>
        <w:adjustRightInd/>
        <w:snapToGrid/>
        <w:spacing w:line="600" w:lineRule="exact"/>
        <w:jc w:val="center"/>
        <w:textAlignment w:val="auto"/>
        <w:rPr>
          <w:rFonts w:ascii="宋体"/>
          <w:b/>
          <w:sz w:val="44"/>
          <w:szCs w:val="44"/>
        </w:rPr>
      </w:pPr>
      <w:r>
        <w:rPr>
          <w:rFonts w:hint="eastAsia" w:ascii="宋体" w:hAnsi="宋体"/>
          <w:b/>
          <w:sz w:val="44"/>
          <w:szCs w:val="44"/>
        </w:rPr>
        <w:t>浮山县退役军人事务局</w:t>
      </w:r>
    </w:p>
    <w:p>
      <w:pPr>
        <w:widowControl w:val="0"/>
        <w:wordWrap/>
        <w:adjustRightInd/>
        <w:snapToGrid/>
        <w:spacing w:line="600" w:lineRule="exact"/>
        <w:jc w:val="center"/>
        <w:textAlignment w:val="auto"/>
        <w:rPr>
          <w:rFonts w:ascii="宋体"/>
          <w:b/>
          <w:sz w:val="44"/>
          <w:szCs w:val="44"/>
        </w:rPr>
      </w:pPr>
      <w:r>
        <w:rPr>
          <w:rFonts w:ascii="宋体" w:hAnsi="宋体"/>
          <w:b/>
          <w:sz w:val="44"/>
          <w:szCs w:val="44"/>
        </w:rPr>
        <w:t>2019</w:t>
      </w:r>
      <w:r>
        <w:rPr>
          <w:rFonts w:hint="eastAsia" w:ascii="宋体" w:hAnsi="宋体"/>
          <w:b/>
          <w:sz w:val="44"/>
          <w:szCs w:val="44"/>
        </w:rPr>
        <w:t>年度部门预算信息公开</w:t>
      </w:r>
    </w:p>
    <w:p>
      <w:pPr>
        <w:widowControl w:val="0"/>
        <w:wordWrap/>
        <w:adjustRightInd/>
        <w:snapToGrid/>
        <w:spacing w:line="600" w:lineRule="exact"/>
        <w:ind w:firstLine="640" w:firstLineChars="200"/>
        <w:textAlignment w:val="auto"/>
        <w:rPr>
          <w:rFonts w:ascii="??_GB2312" w:eastAsia="Times New Roman"/>
          <w:sz w:val="32"/>
          <w:szCs w:val="32"/>
        </w:rPr>
      </w:pPr>
    </w:p>
    <w:p>
      <w:pPr>
        <w:widowControl w:val="0"/>
        <w:wordWrap/>
        <w:adjustRightInd/>
        <w:snapToGrid/>
        <w:spacing w:line="600" w:lineRule="exact"/>
        <w:jc w:val="center"/>
        <w:textAlignment w:val="auto"/>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widowControl w:val="0"/>
        <w:wordWrap/>
        <w:adjustRightInd/>
        <w:snapToGrid/>
        <w:spacing w:line="600" w:lineRule="exact"/>
        <w:ind w:firstLine="640" w:firstLineChars="200"/>
        <w:textAlignment w:val="auto"/>
        <w:rPr>
          <w:rFonts w:ascii="??_GB2312" w:eastAsia="Times New Roman"/>
          <w:b/>
          <w:sz w:val="32"/>
          <w:szCs w:val="32"/>
        </w:rPr>
      </w:pPr>
    </w:p>
    <w:p>
      <w:pPr>
        <w:widowControl w:val="0"/>
        <w:wordWrap/>
        <w:adjustRightInd/>
        <w:snapToGrid/>
        <w:spacing w:line="600" w:lineRule="exact"/>
        <w:ind w:firstLine="640" w:firstLineChars="200"/>
        <w:textAlignment w:val="auto"/>
        <w:rPr>
          <w:rFonts w:ascii="??_GB2312" w:eastAsia="Times New Roman"/>
          <w:b/>
          <w:sz w:val="32"/>
          <w:szCs w:val="32"/>
        </w:rPr>
      </w:pPr>
      <w:r>
        <w:rPr>
          <w:rFonts w:ascii="??_GB2312" w:eastAsia="Times New Roman"/>
          <w:b/>
          <w:sz w:val="32"/>
          <w:szCs w:val="32"/>
        </w:rPr>
        <w:t>一、基本情况(包括机构设置情况）</w:t>
      </w:r>
    </w:p>
    <w:p>
      <w:pPr>
        <w:widowControl w:val="0"/>
        <w:wordWrap/>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浮山县退役军人事务局于</w:t>
      </w:r>
      <w:r>
        <w:rPr>
          <w:rFonts w:ascii="仿宋" w:hAnsi="仿宋" w:eastAsia="仿宋" w:cs="仿宋"/>
          <w:sz w:val="32"/>
          <w:szCs w:val="32"/>
        </w:rPr>
        <w:t>2019</w:t>
      </w:r>
      <w:r>
        <w:rPr>
          <w:rFonts w:hint="eastAsia" w:ascii="仿宋" w:hAnsi="仿宋" w:eastAsia="仿宋" w:cs="仿宋"/>
          <w:sz w:val="32"/>
          <w:szCs w:val="32"/>
        </w:rPr>
        <w:t>年</w:t>
      </w:r>
      <w:r>
        <w:rPr>
          <w:rFonts w:ascii="仿宋" w:hAnsi="仿宋" w:eastAsia="仿宋" w:cs="仿宋"/>
          <w:sz w:val="32"/>
          <w:szCs w:val="32"/>
        </w:rPr>
        <w:t>3</w:t>
      </w:r>
      <w:r>
        <w:rPr>
          <w:rFonts w:hint="eastAsia" w:ascii="仿宋" w:hAnsi="仿宋" w:eastAsia="仿宋" w:cs="仿宋"/>
          <w:sz w:val="32"/>
          <w:szCs w:val="32"/>
        </w:rPr>
        <w:t>月</w:t>
      </w:r>
      <w:r>
        <w:rPr>
          <w:rFonts w:ascii="仿宋" w:hAnsi="仿宋" w:eastAsia="仿宋" w:cs="仿宋"/>
          <w:sz w:val="32"/>
          <w:szCs w:val="32"/>
        </w:rPr>
        <w:t>13</w:t>
      </w:r>
      <w:r>
        <w:rPr>
          <w:rFonts w:hint="eastAsia" w:ascii="仿宋" w:hAnsi="仿宋" w:eastAsia="仿宋" w:cs="仿宋"/>
          <w:sz w:val="32"/>
          <w:szCs w:val="32"/>
        </w:rPr>
        <w:t>日挂牌成立，核定行政编制</w:t>
      </w:r>
      <w:r>
        <w:rPr>
          <w:rFonts w:ascii="仿宋" w:hAnsi="仿宋" w:eastAsia="仿宋" w:cs="仿宋"/>
          <w:sz w:val="32"/>
          <w:szCs w:val="32"/>
        </w:rPr>
        <w:t>6</w:t>
      </w:r>
      <w:r>
        <w:rPr>
          <w:rFonts w:hint="eastAsia" w:ascii="仿宋" w:hAnsi="仿宋" w:eastAsia="仿宋" w:cs="仿宋"/>
          <w:sz w:val="32"/>
          <w:szCs w:val="32"/>
        </w:rPr>
        <w:t>人，现设四个股室（综合办公室、拥军优抚股、退役军人安置股、政策宣传股）两个下属单位（光荣院、烈士纪念馆）。现已配备公务员</w:t>
      </w:r>
      <w:r>
        <w:rPr>
          <w:rFonts w:ascii="仿宋" w:hAnsi="仿宋" w:eastAsia="仿宋" w:cs="仿宋"/>
          <w:sz w:val="32"/>
          <w:szCs w:val="32"/>
        </w:rPr>
        <w:t>3</w:t>
      </w:r>
      <w:r>
        <w:rPr>
          <w:rFonts w:hint="eastAsia" w:ascii="仿宋" w:hAnsi="仿宋" w:eastAsia="仿宋" w:cs="仿宋"/>
          <w:sz w:val="32"/>
          <w:szCs w:val="32"/>
        </w:rPr>
        <w:t>人（局长</w:t>
      </w:r>
      <w:r>
        <w:rPr>
          <w:rFonts w:ascii="仿宋" w:hAnsi="仿宋" w:eastAsia="仿宋" w:cs="仿宋"/>
          <w:sz w:val="32"/>
          <w:szCs w:val="32"/>
        </w:rPr>
        <w:t>1</w:t>
      </w:r>
      <w:r>
        <w:rPr>
          <w:rFonts w:hint="eastAsia" w:ascii="仿宋" w:hAnsi="仿宋" w:eastAsia="仿宋" w:cs="仿宋"/>
          <w:sz w:val="32"/>
          <w:szCs w:val="32"/>
        </w:rPr>
        <w:t>人、副局长</w:t>
      </w:r>
      <w:r>
        <w:rPr>
          <w:rFonts w:ascii="仿宋" w:hAnsi="仿宋" w:eastAsia="仿宋" w:cs="仿宋"/>
          <w:sz w:val="32"/>
          <w:szCs w:val="32"/>
        </w:rPr>
        <w:t>1</w:t>
      </w:r>
      <w:r>
        <w:rPr>
          <w:rFonts w:hint="eastAsia" w:ascii="仿宋" w:hAnsi="仿宋" w:eastAsia="仿宋" w:cs="仿宋"/>
          <w:sz w:val="32"/>
          <w:szCs w:val="32"/>
        </w:rPr>
        <w:t>人、拥军优抚股股长</w:t>
      </w:r>
      <w:r>
        <w:rPr>
          <w:rFonts w:ascii="仿宋" w:hAnsi="仿宋" w:eastAsia="仿宋" w:cs="仿宋"/>
          <w:sz w:val="32"/>
          <w:szCs w:val="32"/>
        </w:rPr>
        <w:t>1</w:t>
      </w:r>
      <w:r>
        <w:rPr>
          <w:rFonts w:hint="eastAsia" w:ascii="仿宋" w:hAnsi="仿宋" w:eastAsia="仿宋" w:cs="仿宋"/>
          <w:sz w:val="32"/>
          <w:szCs w:val="32"/>
        </w:rPr>
        <w:t>人），事业编制人员</w:t>
      </w:r>
      <w:r>
        <w:rPr>
          <w:rFonts w:ascii="仿宋" w:hAnsi="仿宋" w:eastAsia="仿宋" w:cs="仿宋"/>
          <w:sz w:val="32"/>
          <w:szCs w:val="32"/>
        </w:rPr>
        <w:t>13</w:t>
      </w:r>
      <w:r>
        <w:rPr>
          <w:rFonts w:hint="eastAsia" w:ascii="仿宋" w:hAnsi="仿宋" w:eastAsia="仿宋" w:cs="仿宋"/>
          <w:sz w:val="32"/>
          <w:szCs w:val="32"/>
        </w:rPr>
        <w:t>人（其中全额财政</w:t>
      </w:r>
      <w:r>
        <w:rPr>
          <w:rFonts w:ascii="仿宋" w:hAnsi="仿宋" w:eastAsia="仿宋" w:cs="仿宋"/>
          <w:sz w:val="32"/>
          <w:szCs w:val="32"/>
        </w:rPr>
        <w:t>7</w:t>
      </w:r>
      <w:r>
        <w:rPr>
          <w:rFonts w:hint="eastAsia" w:ascii="仿宋" w:hAnsi="仿宋" w:eastAsia="仿宋" w:cs="仿宋"/>
          <w:sz w:val="32"/>
          <w:szCs w:val="32"/>
        </w:rPr>
        <w:t>人、自收自支人员</w:t>
      </w:r>
      <w:r>
        <w:rPr>
          <w:rFonts w:ascii="仿宋" w:hAnsi="仿宋" w:eastAsia="仿宋" w:cs="仿宋"/>
          <w:sz w:val="32"/>
          <w:szCs w:val="32"/>
        </w:rPr>
        <w:t>6</w:t>
      </w:r>
      <w:r>
        <w:rPr>
          <w:rFonts w:hint="eastAsia" w:ascii="仿宋" w:hAnsi="仿宋" w:eastAsia="仿宋" w:cs="仿宋"/>
          <w:sz w:val="32"/>
          <w:szCs w:val="32"/>
        </w:rPr>
        <w:t>人），目前还缺行政编制人员</w:t>
      </w:r>
      <w:r>
        <w:rPr>
          <w:rFonts w:ascii="仿宋" w:hAnsi="仿宋" w:eastAsia="仿宋" w:cs="仿宋"/>
          <w:sz w:val="32"/>
          <w:szCs w:val="32"/>
        </w:rPr>
        <w:t>3</w:t>
      </w:r>
      <w:r>
        <w:rPr>
          <w:rFonts w:hint="eastAsia" w:ascii="仿宋" w:hAnsi="仿宋" w:eastAsia="仿宋" w:cs="仿宋"/>
          <w:sz w:val="32"/>
          <w:szCs w:val="32"/>
        </w:rPr>
        <w:t>人。</w:t>
      </w:r>
    </w:p>
    <w:p>
      <w:pPr>
        <w:widowControl w:val="0"/>
        <w:wordWrap/>
        <w:adjustRightInd/>
        <w:snapToGrid/>
        <w:spacing w:line="600" w:lineRule="exact"/>
        <w:ind w:firstLine="640" w:firstLineChars="200"/>
        <w:textAlignment w:val="auto"/>
        <w:rPr>
          <w:rFonts w:ascii="??_GB2312" w:eastAsia="Times New Roman"/>
          <w:b/>
          <w:sz w:val="32"/>
          <w:szCs w:val="32"/>
        </w:rPr>
      </w:pPr>
      <w:r>
        <w:rPr>
          <w:rFonts w:ascii="??_GB2312" w:eastAsia="Times New Roman"/>
          <w:b/>
          <w:sz w:val="32"/>
          <w:szCs w:val="32"/>
        </w:rPr>
        <w:t>二、主要职能</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(一)组织实施退役军人思想政治、管理保障和安置优抚等工作的政策法规,拟订我县相关政策法规并组织实施。</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(二)负责军队转业干部、复员干部、离退休干部、退役士兵和无军籍退休退职职工的接收安置工作和自主择业、就业退役军人服务管理工作。</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(三)组织指导退役军人教育培训工作,协调扶持退役军人和随军随调家属就业创业。</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(四)组织实施国家关于退役军人特殊保障的相关政策,会同有关部门制定我县退役军人特殊保障的政策并组织实施。</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(五)组织协调落实移交我县的离休退休军人、符合条件的其他退役军人和无军籍退休退职职工的住房保障工作,以及退役军人医疗保障、社会保险等待遇保障工作。</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(六)组织开展伤病残退役军人服务管理和抚恤工作,组织落实有关退役军人医疗、疗养、养老等机构的规划政策。承担不适宜继续服役的伤病残军人相关工作,组织开展军供服务保障工作。</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(七)组织开展全县拥军优属工作。负责现役军人、退役军人、军队文职人员和军属优待、抚恤等工作,指导实施国民党抗战老兵等有关人员优待政策。</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负责烈士及退役军人荣誉奖励、军人公墓管理维护纪念活动等工作,依法承担英雄烈士保护相关工作,申报拟列入全国、全省、全市重点保护单位的烈士纪念建筑物名录,审核拟列入全县重点保护单位的烈士纪念建筑物名录,总结表彰和宣扬退役军人、退役军人工作单位和个人先进典型事迹。</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(九)指导并监督检查退役军人相关法律法规和政策措施的落实,组织开展退役军人权益维护和有关人员的帮扶援助工作。</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(十)完成县委县政府交办的其他任务,配合部队完成退役军人其他相关工作。</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职能转变。县退役军人事务局应加强退役军人思想政治工作和服务保障体系建设,建立健全集中统一、职责清晰的退役军人管理保障体制;提高政治站位,协调各方力量更好地为军人军属服务,维护军人军属和退役军人合法权益,从浮山实际出发制定切实可行的解困稳定政策;褒扬彰显退役军人为党、国家和人民牺牲奉献的精神风范和价值导向,更好地为增强部队战斗力和凝聚力做好组织保障,让军人成为全社会尊崇的职业。</w:t>
      </w:r>
    </w:p>
    <w:p>
      <w:pPr>
        <w:widowControl w:val="0"/>
        <w:wordWrap/>
        <w:adjustRightInd/>
        <w:snapToGrid/>
        <w:spacing w:line="600" w:lineRule="exact"/>
        <w:textAlignment w:val="auto"/>
        <w:rPr>
          <w:rFonts w:ascii="??_GB2312" w:eastAsia="Times New Roman"/>
          <w:sz w:val="32"/>
          <w:szCs w:val="32"/>
        </w:rPr>
      </w:pPr>
    </w:p>
    <w:p>
      <w:pPr>
        <w:widowControl w:val="0"/>
        <w:wordWrap/>
        <w:adjustRightInd/>
        <w:snapToGrid/>
        <w:spacing w:line="600" w:lineRule="exact"/>
        <w:jc w:val="center"/>
        <w:textAlignment w:val="auto"/>
        <w:rPr>
          <w:rFonts w:hint="eastAsia" w:ascii="黑体" w:eastAsia="黑体"/>
          <w:sz w:val="32"/>
          <w:szCs w:val="32"/>
        </w:rPr>
      </w:pPr>
      <w:r>
        <w:rPr>
          <w:rFonts w:hint="eastAsia" w:ascii="黑体" w:eastAsia="黑体"/>
          <w:sz w:val="32"/>
          <w:szCs w:val="32"/>
        </w:rPr>
        <w:t>第二部分  2019年度部门预算报表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一、浮山县退役军人事务局2019年预算收支总表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二、浮山县退役军人事务局 2019年预算收入总表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三、浮山县退役军人事务局 2019年预算支出总表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四、浮山县退役军人事务局  2019年财政拨款收支总表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五、浮山县退役军人事务局 2019年一般公共预算支出预算表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六、浮山县退役军人事务局 2019年一般公共预算安排基本支出分经济科目表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七、浮山县退役军人事务局 2019年政府性基金预算收入预算表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八、浮山县退役军人事务局 2019年政府性基金预算支出预算表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九、浮山县退役军人事务局 2019年“三公”经费预算财政拨款情况统计表</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十、浮山县退役军人事务局 2019年机关运行经费预算财政拨款情况统计表</w:t>
      </w:r>
    </w:p>
    <w:p>
      <w:pPr>
        <w:widowControl w:val="0"/>
        <w:wordWrap/>
        <w:adjustRightInd/>
        <w:snapToGrid/>
        <w:spacing w:line="600" w:lineRule="exact"/>
        <w:jc w:val="center"/>
        <w:textAlignment w:val="auto"/>
        <w:rPr>
          <w:rFonts w:hint="eastAsia" w:ascii="黑体" w:eastAsia="黑体"/>
          <w:sz w:val="32"/>
          <w:szCs w:val="32"/>
        </w:rPr>
      </w:pPr>
    </w:p>
    <w:p>
      <w:pPr>
        <w:widowControl w:val="0"/>
        <w:wordWrap/>
        <w:adjustRightInd/>
        <w:snapToGrid/>
        <w:spacing w:line="600" w:lineRule="exact"/>
        <w:jc w:val="center"/>
        <w:textAlignment w:val="auto"/>
        <w:rPr>
          <w:rFonts w:hint="eastAsia" w:ascii="黑体" w:eastAsia="黑体"/>
          <w:sz w:val="32"/>
          <w:szCs w:val="32"/>
        </w:rPr>
      </w:pPr>
      <w:r>
        <w:rPr>
          <w:rFonts w:hint="eastAsia" w:ascii="黑体" w:eastAsia="黑体"/>
          <w:sz w:val="32"/>
          <w:szCs w:val="32"/>
        </w:rPr>
        <w:t>第三部分  2019年度部门预算情况说明</w:t>
      </w:r>
    </w:p>
    <w:p>
      <w:pPr>
        <w:widowControl w:val="0"/>
        <w:wordWrap/>
        <w:adjustRightInd/>
        <w:snapToGrid/>
        <w:spacing w:line="600" w:lineRule="exact"/>
        <w:ind w:firstLine="640" w:firstLineChars="200"/>
        <w:textAlignment w:val="auto"/>
        <w:rPr>
          <w:rFonts w:hint="eastAsia" w:ascii="??_GB2312" w:eastAsia="Times New Roman"/>
          <w:b/>
          <w:sz w:val="32"/>
          <w:szCs w:val="32"/>
        </w:rPr>
      </w:pPr>
    </w:p>
    <w:p>
      <w:pPr>
        <w:widowControl w:val="0"/>
        <w:wordWrap/>
        <w:adjustRightInd/>
        <w:snapToGrid/>
        <w:spacing w:line="600" w:lineRule="exact"/>
        <w:ind w:firstLine="640" w:firstLineChars="200"/>
        <w:textAlignment w:val="auto"/>
        <w:rPr>
          <w:rFonts w:hint="eastAsia" w:ascii="仿宋" w:hAnsi="仿宋" w:eastAsia="仿宋" w:cs="仿宋"/>
          <w:b/>
          <w:sz w:val="32"/>
          <w:szCs w:val="32"/>
        </w:rPr>
      </w:pPr>
      <w:r>
        <w:rPr>
          <w:rFonts w:hint="eastAsia" w:ascii="??_GB2312" w:eastAsia="Times New Roman"/>
          <w:b/>
          <w:sz w:val="32"/>
          <w:szCs w:val="32"/>
        </w:rPr>
        <w:t>一、</w:t>
      </w:r>
      <w:r>
        <w:rPr>
          <w:rFonts w:hint="eastAsia" w:ascii="仿宋" w:hAnsi="仿宋" w:eastAsia="仿宋" w:cs="仿宋"/>
          <w:b/>
          <w:sz w:val="32"/>
          <w:szCs w:val="32"/>
        </w:rPr>
        <w:t>2019</w:t>
      </w:r>
      <w:r>
        <w:rPr>
          <w:rFonts w:hint="eastAsia" w:ascii="??_GB2312" w:eastAsia="Times New Roman"/>
          <w:b/>
          <w:sz w:val="32"/>
          <w:szCs w:val="32"/>
        </w:rPr>
        <w:t>年度部门预算数据变动情况及原因</w:t>
      </w:r>
    </w:p>
    <w:p>
      <w:pPr>
        <w:widowControl w:val="0"/>
        <w:wordWrap/>
        <w:adjustRightInd/>
        <w:snapToGrid/>
        <w:spacing w:line="60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因退役军人事务局为2019年3月新成立单位，此次公开只能列示2019年预算数据，无2019与2018年预算比较数据。</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浮山县退役军人事务局2019年部门预算99.31 万元，其中：工资福利支出83.84万元 ，商品和服务支出9.54万元，对个人和家庭补助支出5.94万元。无项目支出预算。</w:t>
      </w:r>
    </w:p>
    <w:p>
      <w:pPr>
        <w:widowControl w:val="0"/>
        <w:wordWrap/>
        <w:adjustRightInd/>
        <w:snapToGrid/>
        <w:spacing w:line="600" w:lineRule="exact"/>
        <w:ind w:firstLine="640" w:firstLineChars="200"/>
        <w:textAlignment w:val="auto"/>
        <w:rPr>
          <w:rFonts w:hint="eastAsia" w:ascii="??_GB2312" w:eastAsia="Times New Roman"/>
          <w:b/>
          <w:sz w:val="32"/>
          <w:szCs w:val="32"/>
        </w:rPr>
      </w:pPr>
      <w:r>
        <w:rPr>
          <w:rFonts w:hint="eastAsia" w:ascii="??_GB2312" w:eastAsia="Times New Roman"/>
          <w:b/>
          <w:sz w:val="32"/>
          <w:szCs w:val="32"/>
        </w:rPr>
        <w:t>二、“三公”经费增减变动原因说明</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2019年一般公共预算安排的“三公”经费预算0万元</w:t>
      </w:r>
      <w:r>
        <w:rPr>
          <w:rFonts w:hint="eastAsia" w:ascii="仿宋" w:hAnsi="仿宋" w:eastAsia="仿宋" w:cs="仿宋"/>
          <w:sz w:val="32"/>
          <w:szCs w:val="32"/>
          <w:lang w:eastAsia="zh-CN"/>
        </w:rPr>
        <w:t>，无</w:t>
      </w:r>
    </w:p>
    <w:p>
      <w:pPr>
        <w:widowControl w:val="0"/>
        <w:wordWrap/>
        <w:adjustRightInd/>
        <w:snapToGrid/>
        <w:spacing w:line="600" w:lineRule="exac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因公出国（境）费”、“公务用车购置及运行费”、“公务接待费”</w:t>
      </w:r>
      <w:r>
        <w:rPr>
          <w:rFonts w:hint="eastAsia" w:ascii="仿宋" w:hAnsi="仿宋" w:eastAsia="仿宋" w:cs="仿宋"/>
          <w:sz w:val="32"/>
          <w:szCs w:val="32"/>
          <w:lang w:eastAsia="zh-CN"/>
        </w:rPr>
        <w:t>支出预算。本单位为</w:t>
      </w:r>
      <w:r>
        <w:rPr>
          <w:rFonts w:hint="eastAsia" w:ascii="仿宋" w:hAnsi="仿宋" w:eastAsia="仿宋" w:cs="仿宋"/>
          <w:sz w:val="32"/>
          <w:szCs w:val="32"/>
          <w:lang w:val="en-US" w:eastAsia="zh-CN"/>
        </w:rPr>
        <w:t>2019年3月新成立的单位，不与上年三公经费预算做比较。</w:t>
      </w:r>
    </w:p>
    <w:p>
      <w:pPr>
        <w:widowControl w:val="0"/>
        <w:wordWrap/>
        <w:adjustRightInd/>
        <w:snapToGrid/>
        <w:spacing w:line="600" w:lineRule="exact"/>
        <w:ind w:firstLine="640" w:firstLineChars="200"/>
        <w:textAlignment w:val="auto"/>
        <w:rPr>
          <w:rFonts w:hint="eastAsia" w:ascii="??_GB2312" w:eastAsia="Times New Roman"/>
          <w:b/>
          <w:sz w:val="32"/>
          <w:szCs w:val="32"/>
        </w:rPr>
      </w:pPr>
      <w:r>
        <w:rPr>
          <w:rFonts w:hint="eastAsia" w:ascii="??_GB2312" w:eastAsia="Times New Roman"/>
          <w:b/>
          <w:sz w:val="32"/>
          <w:szCs w:val="32"/>
        </w:rPr>
        <w:t>三、机关运行经费增减变动原因说明</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浮山县退役军人事务局2019年运行经费财政拨款预算 9.54 万元。</w:t>
      </w:r>
    </w:p>
    <w:p>
      <w:pPr>
        <w:widowControl w:val="0"/>
        <w:wordWrap/>
        <w:adjustRightInd/>
        <w:snapToGrid/>
        <w:spacing w:line="600" w:lineRule="exact"/>
        <w:ind w:firstLine="640" w:firstLineChars="200"/>
        <w:textAlignment w:val="auto"/>
        <w:rPr>
          <w:rFonts w:hint="eastAsia" w:ascii="??_GB2312" w:eastAsia="Times New Roman"/>
          <w:b/>
          <w:sz w:val="32"/>
          <w:szCs w:val="32"/>
        </w:rPr>
      </w:pPr>
      <w:r>
        <w:rPr>
          <w:rFonts w:hint="eastAsia" w:ascii="??_GB2312" w:eastAsia="Times New Roman"/>
          <w:b/>
          <w:sz w:val="32"/>
          <w:szCs w:val="32"/>
        </w:rPr>
        <w:t>四、政府采购情况</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2019年浮山县退役军人事务局政府采购预算总额 3.</w:t>
      </w:r>
      <w:r>
        <w:rPr>
          <w:rFonts w:hint="eastAsia" w:ascii="仿宋" w:hAnsi="仿宋" w:eastAsia="仿宋" w:cs="仿宋"/>
          <w:sz w:val="32"/>
          <w:szCs w:val="32"/>
          <w:lang w:val="en-US" w:eastAsia="zh-CN"/>
        </w:rPr>
        <w:t>7</w:t>
      </w:r>
      <w:r>
        <w:rPr>
          <w:rFonts w:hint="eastAsia" w:ascii="仿宋" w:hAnsi="仿宋" w:eastAsia="仿宋" w:cs="仿宋"/>
          <w:sz w:val="32"/>
          <w:szCs w:val="32"/>
        </w:rPr>
        <w:t>万元，其中：政府采购货物预算 3.</w:t>
      </w:r>
      <w:r>
        <w:rPr>
          <w:rFonts w:hint="eastAsia" w:ascii="仿宋" w:hAnsi="仿宋" w:eastAsia="仿宋" w:cs="仿宋"/>
          <w:sz w:val="32"/>
          <w:szCs w:val="32"/>
          <w:lang w:val="en-US" w:eastAsia="zh-CN"/>
        </w:rPr>
        <w:t>7</w:t>
      </w:r>
      <w:r>
        <w:rPr>
          <w:rFonts w:hint="eastAsia" w:ascii="仿宋" w:hAnsi="仿宋" w:eastAsia="仿宋" w:cs="仿宋"/>
          <w:sz w:val="32"/>
          <w:szCs w:val="32"/>
        </w:rPr>
        <w:t>万元。</w:t>
      </w:r>
    </w:p>
    <w:p>
      <w:pPr>
        <w:widowControl w:val="0"/>
        <w:wordWrap/>
        <w:adjustRightInd/>
        <w:snapToGrid/>
        <w:spacing w:line="600" w:lineRule="exact"/>
        <w:ind w:firstLine="640" w:firstLineChars="200"/>
        <w:textAlignment w:val="auto"/>
        <w:rPr>
          <w:rFonts w:hint="eastAsia" w:ascii="??_GB2312" w:eastAsia="Times New Roman"/>
          <w:b/>
          <w:sz w:val="32"/>
          <w:szCs w:val="32"/>
        </w:rPr>
      </w:pPr>
      <w:r>
        <w:rPr>
          <w:rFonts w:hint="eastAsia" w:ascii="??_GB2312" w:eastAsia="Times New Roman"/>
          <w:b/>
          <w:sz w:val="32"/>
          <w:szCs w:val="32"/>
        </w:rPr>
        <w:t>五、关于国有资产占用情况说明</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因退役军人事务局为2019年3月新成立单位，因此无2018年12月31日固定资产年末统计数据。</w:t>
      </w:r>
    </w:p>
    <w:p>
      <w:pPr>
        <w:widowControl w:val="0"/>
        <w:wordWrap/>
        <w:adjustRightInd/>
        <w:snapToGrid/>
        <w:spacing w:line="600" w:lineRule="exact"/>
        <w:ind w:firstLine="640" w:firstLineChars="200"/>
        <w:textAlignment w:val="auto"/>
        <w:rPr>
          <w:rFonts w:hint="eastAsia" w:ascii="??_GB2312" w:eastAsia="Times New Roman"/>
          <w:b/>
          <w:sz w:val="32"/>
          <w:szCs w:val="32"/>
        </w:rPr>
      </w:pPr>
      <w:r>
        <w:rPr>
          <w:rFonts w:hint="eastAsia" w:ascii="??_GB2312" w:eastAsia="Times New Roman"/>
          <w:b/>
          <w:sz w:val="32"/>
          <w:szCs w:val="32"/>
        </w:rPr>
        <w:t>六、绩效管理情况</w:t>
      </w:r>
    </w:p>
    <w:p>
      <w:pPr>
        <w:widowControl w:val="0"/>
        <w:wordWrap/>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2019年部门预算我单位无重点项目支出</w:t>
      </w:r>
      <w:r>
        <w:rPr>
          <w:rFonts w:hint="eastAsia" w:ascii="仿宋" w:hAnsi="仿宋" w:eastAsia="仿宋" w:cs="仿宋"/>
          <w:sz w:val="32"/>
          <w:szCs w:val="32"/>
          <w:lang w:val="en-US" w:eastAsia="zh-CN"/>
        </w:rPr>
        <w:t>.</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p>
    <w:p>
      <w:pPr>
        <w:widowControl w:val="0"/>
        <w:wordWrap/>
        <w:adjustRightInd/>
        <w:snapToGrid/>
        <w:spacing w:line="600" w:lineRule="exact"/>
        <w:jc w:val="center"/>
        <w:textAlignment w:val="auto"/>
        <w:rPr>
          <w:rFonts w:hint="eastAsia" w:ascii="黑体" w:eastAsia="黑体"/>
          <w:sz w:val="32"/>
          <w:szCs w:val="32"/>
        </w:rPr>
      </w:pPr>
      <w:r>
        <w:rPr>
          <w:rFonts w:hint="eastAsia" w:ascii="黑体" w:eastAsia="黑体"/>
          <w:sz w:val="32"/>
          <w:szCs w:val="32"/>
        </w:rPr>
        <w:t>第四部分  名词解释</w:t>
      </w:r>
    </w:p>
    <w:p>
      <w:pPr>
        <w:widowControl w:val="0"/>
        <w:wordWrap/>
        <w:adjustRightInd/>
        <w:snapToGrid/>
        <w:spacing w:line="600" w:lineRule="exact"/>
        <w:ind w:firstLine="640" w:firstLineChars="200"/>
        <w:textAlignment w:val="auto"/>
        <w:rPr>
          <w:rFonts w:hint="eastAsia" w:ascii="??_GB2312" w:eastAsia="Times New Roman"/>
          <w:b/>
          <w:sz w:val="32"/>
          <w:szCs w:val="32"/>
        </w:rPr>
      </w:pP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_GB2312" w:eastAsia="Times New Roman"/>
          <w:b/>
          <w:sz w:val="32"/>
          <w:szCs w:val="32"/>
        </w:rPr>
        <w:t>（一）基本支出：</w:t>
      </w:r>
      <w:r>
        <w:rPr>
          <w:rFonts w:hint="eastAsia" w:ascii="仿宋" w:hAnsi="仿宋" w:eastAsia="仿宋" w:cs="仿宋"/>
          <w:sz w:val="32"/>
          <w:szCs w:val="32"/>
        </w:rPr>
        <w:t>指为保障机构正常运转、完成日常</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工作任务而发生的人员支出和公用支出。</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ascii="??_GB2312" w:eastAsia="Times New Roman"/>
          <w:b/>
          <w:sz w:val="32"/>
          <w:szCs w:val="32"/>
        </w:rPr>
        <w:t>（二）项目支出：</w:t>
      </w:r>
      <w:r>
        <w:rPr>
          <w:rFonts w:hint="eastAsia" w:ascii="仿宋" w:hAnsi="仿宋" w:eastAsia="仿宋" w:cs="仿宋"/>
          <w:sz w:val="32"/>
          <w:szCs w:val="32"/>
        </w:rPr>
        <w:t>指在基本支出之外为完成特定行政任</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务和事业发展目标所发生的支出。</w:t>
      </w:r>
    </w:p>
    <w:p>
      <w:pPr>
        <w:widowControl w:val="0"/>
        <w:wordWrap/>
        <w:adjustRightInd/>
        <w:snapToGrid/>
        <w:spacing w:line="600" w:lineRule="exact"/>
        <w:ind w:firstLine="640" w:firstLineChars="200"/>
        <w:textAlignment w:val="auto"/>
        <w:rPr>
          <w:rFonts w:ascii="??_GB2312" w:eastAsia="Times New Roman"/>
          <w:sz w:val="32"/>
          <w:szCs w:val="32"/>
        </w:rPr>
      </w:pPr>
      <w:r>
        <w:rPr>
          <w:rFonts w:ascii="??_GB2312" w:eastAsia="Times New Roman"/>
          <w:b/>
          <w:sz w:val="32"/>
          <w:szCs w:val="32"/>
        </w:rPr>
        <w:t>（三）“三公”经费：</w:t>
      </w:r>
      <w:r>
        <w:rPr>
          <w:rFonts w:hint="eastAsia" w:ascii="仿宋" w:hAnsi="仿宋" w:eastAsia="仿宋" w:cs="仿宋"/>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val="0"/>
        <w:wordWrap/>
        <w:adjustRightInd/>
        <w:snapToGrid/>
        <w:spacing w:line="600" w:lineRule="exact"/>
        <w:ind w:firstLine="640" w:firstLineChars="200"/>
        <w:textAlignment w:val="auto"/>
        <w:rPr>
          <w:rFonts w:hint="eastAsia" w:ascii="仿宋" w:hAnsi="仿宋" w:eastAsia="仿宋" w:cs="仿宋"/>
          <w:sz w:val="32"/>
          <w:szCs w:val="32"/>
        </w:rPr>
      </w:pPr>
      <w:r>
        <w:rPr>
          <w:rFonts w:ascii="??_GB2312" w:eastAsia="Times New Roman"/>
          <w:b/>
          <w:sz w:val="32"/>
          <w:szCs w:val="32"/>
        </w:rPr>
        <w:t>（四）机关运行经费：</w:t>
      </w:r>
      <w:r>
        <w:rPr>
          <w:rFonts w:hint="eastAsia" w:ascii="仿宋" w:hAnsi="仿宋" w:eastAsia="仿宋" w:cs="仿宋"/>
          <w:sz w:val="32"/>
          <w:szCs w:val="32"/>
        </w:rPr>
        <w:t>指行政单位和参照公务员法管理的事业单位使用一般公共预算安排的基本支出中的日常公用经费支出。</w:t>
      </w:r>
    </w:p>
    <w:p>
      <w:pPr>
        <w:widowControl w:val="0"/>
        <w:wordWrap/>
        <w:adjustRightInd/>
        <w:snapToGrid/>
        <w:spacing w:line="600" w:lineRule="exact"/>
        <w:ind w:firstLine="640" w:firstLineChars="200"/>
        <w:textAlignment w:val="auto"/>
        <w:rPr>
          <w:rFonts w:ascii="??_GB2312" w:eastAsia="Times New Roman"/>
          <w:sz w:val="32"/>
          <w:szCs w:val="32"/>
        </w:rPr>
      </w:pPr>
    </w:p>
    <w:p>
      <w:pPr>
        <w:widowControl w:val="0"/>
        <w:wordWrap/>
        <w:adjustRightInd/>
        <w:snapToGrid/>
        <w:spacing w:line="600" w:lineRule="exact"/>
        <w:ind w:firstLine="640" w:firstLineChars="200"/>
        <w:textAlignment w:val="auto"/>
        <w:rPr>
          <w:rFonts w:ascii="??_GB2312" w:eastAsia="Times New Roman"/>
          <w:sz w:val="32"/>
          <w:szCs w:val="32"/>
        </w:rPr>
      </w:pPr>
    </w:p>
    <w:p>
      <w:pPr>
        <w:widowControl w:val="0"/>
        <w:wordWrap/>
        <w:adjustRightInd/>
        <w:snapToGrid/>
        <w:spacing w:line="600" w:lineRule="exact"/>
        <w:ind w:firstLine="640" w:firstLineChars="200"/>
        <w:textAlignment w:val="auto"/>
        <w:rPr>
          <w:rFonts w:ascii="??_GB2312" w:eastAsia="Times New Roman"/>
          <w:sz w:val="32"/>
          <w:szCs w:val="32"/>
        </w:rPr>
      </w:pPr>
    </w:p>
    <w:p>
      <w:pPr>
        <w:widowControl w:val="0"/>
        <w:wordWrap/>
        <w:adjustRightInd/>
        <w:snapToGrid/>
        <w:spacing w:line="600" w:lineRule="exact"/>
        <w:ind w:firstLine="640" w:firstLineChars="200"/>
        <w:textAlignment w:val="auto"/>
        <w:rPr>
          <w:rFonts w:ascii="??_GB2312" w:eastAsia="Times New Roman"/>
          <w:sz w:val="32"/>
          <w:szCs w:val="32"/>
        </w:rPr>
      </w:pPr>
    </w:p>
    <w:p>
      <w:pPr>
        <w:widowControl w:val="0"/>
        <w:wordWrap w:val="0"/>
        <w:adjustRightInd/>
        <w:snapToGrid/>
        <w:spacing w:line="600" w:lineRule="exact"/>
        <w:ind w:firstLine="4480" w:firstLineChars="1400"/>
        <w:jc w:val="right"/>
        <w:textAlignment w:val="auto"/>
        <w:rPr>
          <w:rFonts w:hint="default" w:ascii="黑体" w:hAnsi="黑体" w:eastAsia="黑体" w:cs="黑体"/>
          <w:lang w:val="en-US" w:eastAsia="zh-CN"/>
        </w:rPr>
      </w:pPr>
      <w:bookmarkStart w:id="0" w:name="_GoBack"/>
      <w:bookmarkEnd w:id="0"/>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765B8"/>
    <w:rsid w:val="000A3658"/>
    <w:rsid w:val="00120BF5"/>
    <w:rsid w:val="001423F1"/>
    <w:rsid w:val="001E360E"/>
    <w:rsid w:val="00211784"/>
    <w:rsid w:val="00246095"/>
    <w:rsid w:val="002650F6"/>
    <w:rsid w:val="002969F7"/>
    <w:rsid w:val="002D7777"/>
    <w:rsid w:val="00393481"/>
    <w:rsid w:val="004009CC"/>
    <w:rsid w:val="0040257E"/>
    <w:rsid w:val="004A0E8E"/>
    <w:rsid w:val="005914FF"/>
    <w:rsid w:val="00593F23"/>
    <w:rsid w:val="005C0583"/>
    <w:rsid w:val="005E63F3"/>
    <w:rsid w:val="005E6F9D"/>
    <w:rsid w:val="005E71C2"/>
    <w:rsid w:val="006726F2"/>
    <w:rsid w:val="006943D6"/>
    <w:rsid w:val="007636CB"/>
    <w:rsid w:val="00775E37"/>
    <w:rsid w:val="00795B78"/>
    <w:rsid w:val="0082011A"/>
    <w:rsid w:val="0091609A"/>
    <w:rsid w:val="00944474"/>
    <w:rsid w:val="00975919"/>
    <w:rsid w:val="009840B4"/>
    <w:rsid w:val="00987CA2"/>
    <w:rsid w:val="009921FF"/>
    <w:rsid w:val="009A5464"/>
    <w:rsid w:val="00A31A4C"/>
    <w:rsid w:val="00A3461D"/>
    <w:rsid w:val="00A650D7"/>
    <w:rsid w:val="00AC0AA0"/>
    <w:rsid w:val="00AD4E41"/>
    <w:rsid w:val="00BF0F06"/>
    <w:rsid w:val="00C70C63"/>
    <w:rsid w:val="00D40A95"/>
    <w:rsid w:val="00DA082B"/>
    <w:rsid w:val="00E42DAC"/>
    <w:rsid w:val="00E70831"/>
    <w:rsid w:val="00E9254E"/>
    <w:rsid w:val="00EC62A0"/>
    <w:rsid w:val="00F76463"/>
    <w:rsid w:val="00F77361"/>
    <w:rsid w:val="00FA4F16"/>
    <w:rsid w:val="00FB2E0C"/>
    <w:rsid w:val="00FC5DB7"/>
    <w:rsid w:val="00FC64C6"/>
    <w:rsid w:val="088E0DB5"/>
    <w:rsid w:val="0E0A19CE"/>
    <w:rsid w:val="0E913556"/>
    <w:rsid w:val="15360C83"/>
    <w:rsid w:val="1ED25976"/>
    <w:rsid w:val="2425476E"/>
    <w:rsid w:val="3D2F7C22"/>
    <w:rsid w:val="3FF22C1D"/>
    <w:rsid w:val="62CF3634"/>
    <w:rsid w:val="637D13A9"/>
    <w:rsid w:val="6CFE0545"/>
    <w:rsid w:val="76A053E1"/>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331</Words>
  <Characters>1893</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2019-04-01T03:50:43Z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FFA3FD644B724D53B8CFACB413F31A9D</vt:lpwstr>
  </property>
</Properties>
</file>