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val="en-US" w:eastAsia="zh-CN"/>
        </w:rPr>
      </w:pPr>
      <w:r>
        <w:rPr>
          <w:rFonts w:hint="eastAsia" w:ascii="宋体" w:hAnsi="宋体"/>
          <w:b/>
          <w:sz w:val="44"/>
          <w:szCs w:val="44"/>
        </w:rPr>
        <w:t>浮山县</w:t>
      </w:r>
      <w:r>
        <w:rPr>
          <w:rFonts w:hint="eastAsia" w:ascii="宋体" w:hAnsi="宋体"/>
          <w:b/>
          <w:sz w:val="44"/>
          <w:szCs w:val="44"/>
          <w:lang w:val="en-US" w:eastAsia="zh-CN"/>
        </w:rPr>
        <w:t>委统战部</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县委统战部机关行政编制4名，其中：部长1名（占</w:t>
      </w:r>
      <w:r>
        <w:rPr>
          <w:rFonts w:hint="eastAsia" w:ascii="仿宋_GB2312" w:hAnsi="宋体" w:eastAsia="仿宋_GB2312"/>
          <w:sz w:val="32"/>
          <w:szCs w:val="32"/>
          <w:lang w:val="en-US" w:eastAsia="zh-CN"/>
        </w:rPr>
        <w:t>县委</w:t>
      </w:r>
      <w:r>
        <w:rPr>
          <w:rFonts w:hint="eastAsia" w:ascii="仿宋_GB2312" w:hAnsi="宋体" w:eastAsia="仿宋_GB2312"/>
          <w:sz w:val="32"/>
          <w:szCs w:val="32"/>
        </w:rPr>
        <w:t>单列编制），副部长2名（1名副部长兼任民族宗教事务局局长，1名副部长兼任县工商联党组书记），</w:t>
      </w:r>
      <w:r>
        <w:rPr>
          <w:rFonts w:hint="eastAsia" w:ascii="仿宋_GB2312" w:hAnsi="宋体" w:eastAsia="仿宋_GB2312"/>
          <w:sz w:val="32"/>
          <w:szCs w:val="32"/>
          <w:lang w:val="en-US" w:eastAsia="zh-CN"/>
        </w:rPr>
        <w:t>科员</w:t>
      </w:r>
      <w:r>
        <w:rPr>
          <w:rFonts w:hint="eastAsia" w:ascii="仿宋_GB2312" w:hAnsi="宋体" w:eastAsia="仿宋_GB2312"/>
          <w:sz w:val="32"/>
          <w:szCs w:val="32"/>
        </w:rPr>
        <w:t>1名。另行核定工勤人员编制1名。</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主要职能</w:t>
      </w:r>
    </w:p>
    <w:p>
      <w:pPr>
        <w:pStyle w:val="3"/>
        <w:widowControl w:val="0"/>
        <w:numPr>
          <w:numId w:val="0"/>
        </w:numPr>
        <w:wordWrap/>
        <w:adjustRightInd/>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贯彻落实加强党对统一战线工作集中统一领导的要求，发挥县委在统战工作方面的参谋机构、组织协调机构、具体执行机构、督促检查机构作用，了解情况、掌握政策、协调关系、安排人事、增进共识、加强团结，协调统一战线各方面关系，组织和落实贯彻中央、省委、市委和县委关于统一战线工作的方针、政策和重大决策部署，巩固壮大最广泛的统一战线。</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(二)研究拟订统一战线工作的理论政策，深入调查研究，及时向县委报告统一战线工作情况并提出建议，统筹协调和指导各部门各单位统一战线工作。</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三)负责发现、培养党外代表人士，负责党外人士的政治安排，会同有关部门做好安排党外人士担任政府和司法机关等领导职务的工作，协助做好民主党派、县工商联干部管理工作，反映和协调解决党外代表人士工作生活中的实际困难。</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(四)贯彻落实党的宣传工作方针，统筹推进统一战线宣传工作，拟订统一战线宣传工作政策和规划并组织实施，研判涉及统一战线的舆情并协调有关部门应对处置。</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五)负责联系各民主党派，通报情况、反映意见，贯彻落实中国共产党领导的多党合作和政治协商制度以及对民主党派的方针政策，支持、帮助民主党派加强自身建设，选拔培养新一代代表人物，做好支持民主党派履行职责、发挥作用的工作。</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六)组织实施民族工作的法律、法规和方针、政策，组织开展民族理论、民族政策和民族工作重大问题的调查研究，提出关于民族工作的政策建议。协调推动有关部门履行民族工作相关职责，协调处理民族工作中的重大问题，组织开展民族团结进步创建活动，全面促进民族事业发展。</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七)统一管理全县宗教工作，贯彻落实党的宗教工作基本方针和政策，依法管理宗教行政事务，保护公民宗教信仰自由和正常的宗教活动，维护宗教界合法权益，抵御境外利用宗教进行渗透，引导各宗教坚持中国化方向，巩固和发展同宗教界的爱国统一战线。</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八)负责联系、培养无党派代表人士，支持、帮助无党派人士加强自身建设、发挥作用。调查研究党外知识分子和新的社会阶层人士情况并提出政策建议，联系、培养党外知识分子和新的社会阶层代表人士，开展思想政治工作，指导有关单位和社会组织开展党外知识分子和新的社会阶层人士统战工作。</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九)参与制定、推动落实鼓励支持非公有制经济发展的方针政策，调查研究非公有制经济人士情况并提出政策建议，了解和反映非公有制经济人士的意见，团结、服务、引导、教育非公有制经济人士，促进非公有制经济健康发展和非公有制经济人士健康成长。</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(十)统一管理全县侨务工作。贯彻落实党的侨务工作方针政策，调查研究侨情和侨务工作情况，统筹协调有关部门和社会团体涉侨工作，保护华侨和归侨侨眷在县内的合法权利和利益。</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(十一)完成县委交办的其他任务。</w:t>
      </w:r>
    </w:p>
    <w:p>
      <w:pPr>
        <w:pStyle w:val="3"/>
        <w:widowControl w:val="0"/>
        <w:numPr>
          <w:numId w:val="0"/>
        </w:numPr>
        <w:wordWrap/>
        <w:adjustRightInd/>
        <w:snapToGrid w:val="0"/>
        <w:spacing w:line="600" w:lineRule="exact"/>
        <w:ind w:right="0" w:firstLine="640" w:firstLineChars="200"/>
        <w:jc w:val="both"/>
        <w:textAlignment w:val="auto"/>
        <w:outlineLvl w:val="9"/>
        <w:rPr>
          <w:rFonts w:ascii="仿宋_GB2312" w:eastAsia="仿宋_GB2312"/>
          <w:sz w:val="32"/>
          <w:szCs w:val="32"/>
        </w:rPr>
      </w:pPr>
      <w:r>
        <w:rPr>
          <w:rFonts w:hint="eastAsia" w:ascii="仿宋_GB2312" w:hAnsi="仿宋_GB2312" w:eastAsia="仿宋_GB2312" w:cs="仿宋_GB2312"/>
          <w:b w:val="0"/>
          <w:bCs w:val="0"/>
          <w:color w:val="auto"/>
          <w:sz w:val="32"/>
          <w:szCs w:val="32"/>
          <w:lang w:val="en-US" w:eastAsia="zh-CN"/>
        </w:rPr>
        <w:t>(十二)职能转变。加强县委统战部的统一归口协调管理职能，加强对民族、宗教、侨务工作的集中统一领导，将民族、宗教、侨务行政职能与统战职能有效整合，优化职责配置，提高工作效能。</w:t>
      </w: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浮山县委统战部2019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浮山县委统战部2019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浮山县委统战部2019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eastAsia="仿宋_GB2312"/>
          <w:sz w:val="32"/>
          <w:szCs w:val="32"/>
          <w:lang w:eastAsia="zh-CN"/>
        </w:rPr>
        <w:t>浮山县委统战部</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eastAsia="zh-CN"/>
        </w:rPr>
        <w:t>浮山县委统战部2019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eastAsia="zh-CN"/>
        </w:rPr>
        <w:t>浮山县委统战部</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浮山县委统战部</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浮山县委统战部2019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浮山县委统战部2019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浮山县委统战部2019</w:t>
      </w:r>
      <w:r>
        <w:rPr>
          <w:rFonts w:hint="eastAsia" w:ascii="仿宋_GB2312" w:eastAsia="仿宋_GB2312"/>
          <w:sz w:val="32"/>
          <w:szCs w:val="32"/>
        </w:rPr>
        <w:t>年机关运行经费预算财政拨款情况统计表</w:t>
      </w: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both"/>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widowControl w:val="0"/>
        <w:wordWrap/>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委统战部</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56.33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49.00 </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5.1 </w:t>
      </w:r>
      <w:r>
        <w:rPr>
          <w:rFonts w:hint="eastAsia" w:ascii="仿宋_GB2312" w:eastAsia="仿宋_GB2312"/>
          <w:sz w:val="32"/>
          <w:szCs w:val="32"/>
        </w:rPr>
        <w:t>万元，增加原因为</w:t>
      </w:r>
      <w:r>
        <w:rPr>
          <w:rFonts w:hint="eastAsia" w:ascii="仿宋_GB2312" w:eastAsia="仿宋_GB2312"/>
          <w:sz w:val="32"/>
          <w:szCs w:val="32"/>
          <w:lang w:val="en-US" w:eastAsia="zh-CN"/>
        </w:rPr>
        <w:t>正常调资</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0.16</w:t>
      </w:r>
      <w:r>
        <w:rPr>
          <w:rFonts w:hint="eastAsia" w:ascii="仿宋_GB2312" w:eastAsia="仿宋_GB2312"/>
          <w:sz w:val="32"/>
          <w:szCs w:val="32"/>
        </w:rPr>
        <w:t>万元，</w:t>
      </w:r>
      <w:r>
        <w:rPr>
          <w:rFonts w:hint="eastAsia" w:ascii="仿宋_GB2312" w:eastAsia="仿宋_GB2312"/>
          <w:sz w:val="32"/>
          <w:szCs w:val="32"/>
          <w:lang w:val="en-US" w:eastAsia="zh-CN"/>
        </w:rPr>
        <w:t>与2018年基本持平</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2.07</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val="en-US" w:eastAsia="zh-CN"/>
        </w:rPr>
        <w:t>一致</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val="en-US" w:eastAsia="zh-CN"/>
        </w:rPr>
        <w:t xml:space="preserve">无变化 </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0 </w:t>
      </w:r>
      <w:r>
        <w:rPr>
          <w:rFonts w:hint="eastAsia" w:ascii="仿宋_GB2312" w:eastAsia="仿宋_GB2312"/>
          <w:sz w:val="32"/>
          <w:szCs w:val="32"/>
        </w:rPr>
        <w:t>万元，比上年</w:t>
      </w:r>
      <w:r>
        <w:rPr>
          <w:rFonts w:hint="eastAsia" w:ascii="仿宋_GB2312" w:eastAsia="仿宋_GB2312"/>
          <w:sz w:val="32"/>
          <w:szCs w:val="32"/>
          <w:lang w:val="en-US" w:eastAsia="zh-CN"/>
        </w:rPr>
        <w:t xml:space="preserve">无变化 </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val="en-US"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委统战部</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14.46</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0.16</w:t>
      </w:r>
      <w:r>
        <w:rPr>
          <w:rFonts w:hint="eastAsia" w:ascii="仿宋_GB2312" w:eastAsia="仿宋_GB2312"/>
          <w:sz w:val="32"/>
          <w:szCs w:val="32"/>
        </w:rPr>
        <w:t>万元，</w:t>
      </w:r>
      <w:r>
        <w:rPr>
          <w:rFonts w:hint="eastAsia" w:ascii="仿宋_GB2312" w:eastAsia="仿宋_GB2312"/>
          <w:sz w:val="32"/>
          <w:szCs w:val="32"/>
          <w:lang w:val="en-US" w:eastAsia="zh-CN"/>
        </w:rPr>
        <w:t>与上年基本持平</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委统战部</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0.3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0.3</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w:t>
      </w:r>
      <w:r>
        <w:rPr>
          <w:rFonts w:hint="eastAsia" w:ascii="仿宋_GB2312" w:eastAsia="仿宋_GB2312"/>
          <w:sz w:val="32"/>
          <w:szCs w:val="32"/>
          <w:lang w:val="en-US" w:eastAsia="zh-CN"/>
        </w:rPr>
        <w:t>22.17</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1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1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lang w:eastAsia="zh-CN"/>
        </w:rPr>
      </w:pPr>
      <w:r>
        <w:rPr>
          <w:rFonts w:hint="eastAsia" w:ascii="黑体" w:eastAsia="黑体"/>
          <w:sz w:val="32"/>
          <w:szCs w:val="32"/>
          <w:lang w:eastAsia="zh-CN"/>
        </w:rPr>
        <w:t>、</w:t>
      </w: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p>
      <w:pPr>
        <w:spacing w:line="600" w:lineRule="exact"/>
        <w:ind w:firstLine="640" w:firstLineChars="200"/>
        <w:rPr>
          <w:rFonts w:hint="eastAsia" w:ascii="仿宋_GB2312" w:eastAsia="仿宋_GB2312"/>
          <w:sz w:val="32"/>
          <w:szCs w:val="32"/>
        </w:rPr>
      </w:pP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26479692">
    <w:nsid w:val="2557524C"/>
    <w:multiLevelType w:val="singleLevel"/>
    <w:tmpl w:val="2557524C"/>
    <w:lvl w:ilvl="0" w:tentative="1">
      <w:start w:val="2"/>
      <w:numFmt w:val="chineseCounting"/>
      <w:suff w:val="nothing"/>
      <w:lvlText w:val="%1、"/>
      <w:lvlJc w:val="left"/>
      <w:rPr>
        <w:rFonts w:hint="eastAsia"/>
      </w:rPr>
    </w:lvl>
  </w:abstractNum>
  <w:num w:numId="1">
    <w:abstractNumId w:val="6264796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584208D"/>
    <w:rsid w:val="088E0DB5"/>
    <w:rsid w:val="0E0A19CE"/>
    <w:rsid w:val="0E591BD4"/>
    <w:rsid w:val="179173FC"/>
    <w:rsid w:val="1B29722C"/>
    <w:rsid w:val="1B2A394C"/>
    <w:rsid w:val="2425476E"/>
    <w:rsid w:val="280969E8"/>
    <w:rsid w:val="2C9009F1"/>
    <w:rsid w:val="37EE5232"/>
    <w:rsid w:val="3B9471FF"/>
    <w:rsid w:val="3BE814B6"/>
    <w:rsid w:val="3D2F7C22"/>
    <w:rsid w:val="44A97ACE"/>
    <w:rsid w:val="47061FA6"/>
    <w:rsid w:val="4EC04FC3"/>
    <w:rsid w:val="52222535"/>
    <w:rsid w:val="5A511479"/>
    <w:rsid w:val="5E19677B"/>
    <w:rsid w:val="62CF3634"/>
    <w:rsid w:val="68CF5296"/>
    <w:rsid w:val="695922D3"/>
    <w:rsid w:val="6C3C32B6"/>
    <w:rsid w:val="6CFE0545"/>
    <w:rsid w:val="78775563"/>
    <w:rsid w:val="7DC14584"/>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2019-04-01T03:49:01Z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