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01DA11">
      <w:pPr>
        <w:widowControl/>
        <w:shd w:val="clear" w:color="auto" w:fill="FFFFFF"/>
        <w:tabs>
          <w:tab w:val="left" w:pos="7200"/>
          <w:tab w:val="left" w:pos="7560"/>
        </w:tabs>
        <w:spacing w:line="560" w:lineRule="exact"/>
        <w:jc w:val="left"/>
        <w:rPr>
          <w:rFonts w:ascii="黑体" w:hAnsi="宋体" w:eastAsia="黑体" w:cs="Times New Roman"/>
          <w:kern w:val="0"/>
          <w:sz w:val="32"/>
          <w:szCs w:val="32"/>
        </w:rPr>
      </w:pPr>
    </w:p>
    <w:p w14:paraId="0AD53CB1">
      <w:pPr>
        <w:jc w:val="left"/>
        <w:rPr>
          <w:rFonts w:ascii="??" w:hAnsi="??" w:eastAsia="Times New Roman" w:cs="Times New Roman"/>
          <w:sz w:val="32"/>
          <w:szCs w:val="32"/>
        </w:rPr>
      </w:pPr>
      <w:r>
        <w:rPr>
          <w:rFonts w:hint="eastAsia" w:ascii="宋体" w:hAnsi="宋体" w:cs="宋体"/>
          <w:sz w:val="32"/>
          <w:szCs w:val="32"/>
        </w:rPr>
        <w:t>附件</w:t>
      </w:r>
      <w:r>
        <w:rPr>
          <w:rFonts w:ascii="??" w:hAnsi="??" w:eastAsia="Times New Roman" w:cs="Times New Roman"/>
          <w:sz w:val="32"/>
          <w:szCs w:val="32"/>
        </w:rPr>
        <w:t>1</w:t>
      </w:r>
    </w:p>
    <w:p w14:paraId="255AF984">
      <w:pPr>
        <w:jc w:val="center"/>
        <w:rPr>
          <w:rFonts w:ascii="??" w:hAnsi="??" w:eastAsia="Times New Roman" w:cs="Times New Roman"/>
          <w:sz w:val="32"/>
          <w:szCs w:val="32"/>
        </w:rPr>
      </w:pPr>
    </w:p>
    <w:p w14:paraId="73F6DF86">
      <w:pPr>
        <w:jc w:val="center"/>
        <w:rPr>
          <w:rFonts w:ascii="华文中宋" w:hAnsi="华文中宋" w:eastAsia="华文中宋" w:cs="华文中宋"/>
          <w:sz w:val="44"/>
          <w:szCs w:val="44"/>
        </w:rPr>
      </w:pPr>
      <w:r>
        <w:rPr>
          <w:rFonts w:hint="eastAsia" w:ascii="华文中宋" w:hAnsi="华文中宋" w:eastAsia="华文中宋" w:cs="华文中宋"/>
          <w:sz w:val="44"/>
          <w:szCs w:val="44"/>
        </w:rPr>
        <w:t>浮山县直属机关事务服务中心</w:t>
      </w:r>
    </w:p>
    <w:p w14:paraId="4CFFCF0C">
      <w:pPr>
        <w:jc w:val="center"/>
        <w:rPr>
          <w:rFonts w:ascii="华文中宋" w:hAnsi="华文中宋" w:eastAsia="华文中宋" w:cs="Times New Roman"/>
          <w:sz w:val="44"/>
          <w:szCs w:val="44"/>
        </w:rPr>
      </w:pPr>
      <w:r>
        <w:rPr>
          <w:rFonts w:ascii="华文中宋" w:hAnsi="华文中宋" w:eastAsia="华文中宋" w:cs="华文中宋"/>
          <w:sz w:val="44"/>
          <w:szCs w:val="44"/>
        </w:rPr>
        <w:t>201</w:t>
      </w:r>
      <w:r>
        <w:rPr>
          <w:rFonts w:hint="eastAsia" w:ascii="华文中宋" w:hAnsi="华文中宋" w:eastAsia="华文中宋" w:cs="华文中宋"/>
          <w:sz w:val="44"/>
          <w:szCs w:val="44"/>
        </w:rPr>
        <w:t>9年度部门预算</w:t>
      </w:r>
    </w:p>
    <w:p w14:paraId="5C61AFFF">
      <w:pPr>
        <w:rPr>
          <w:rFonts w:ascii="黑体" w:hAnsi="黑体" w:eastAsia="黑体" w:cs="黑体"/>
          <w:sz w:val="32"/>
          <w:szCs w:val="32"/>
        </w:rPr>
      </w:pPr>
    </w:p>
    <w:p w14:paraId="217B9CF4">
      <w:pPr>
        <w:rPr>
          <w:rFonts w:ascii="黑体" w:hAnsi="黑体" w:eastAsia="黑体" w:cs="Times New Roman"/>
          <w:sz w:val="32"/>
          <w:szCs w:val="32"/>
        </w:rPr>
      </w:pPr>
      <w:r>
        <w:rPr>
          <w:rFonts w:hint="eastAsia" w:ascii="黑体" w:hAnsi="黑体" w:eastAsia="黑体" w:cs="黑体"/>
          <w:sz w:val="32"/>
          <w:szCs w:val="32"/>
        </w:rPr>
        <w:t>第一部分概况</w:t>
      </w:r>
    </w:p>
    <w:p w14:paraId="59936AFC">
      <w:pPr>
        <w:ind w:firstLine="643" w:firstLineChars="200"/>
        <w:rPr>
          <w:rFonts w:ascii="宋体" w:hAnsi="宋体" w:cs="宋体"/>
          <w:b/>
          <w:bCs/>
          <w:sz w:val="32"/>
          <w:szCs w:val="32"/>
        </w:rPr>
      </w:pPr>
    </w:p>
    <w:p w14:paraId="2095AA4C">
      <w:pPr>
        <w:ind w:firstLine="643" w:firstLineChars="200"/>
        <w:rPr>
          <w:rFonts w:ascii="??" w:hAnsi="??" w:eastAsia="Times New Roman" w:cs="Times New Roman"/>
          <w:b/>
          <w:bCs/>
          <w:sz w:val="32"/>
          <w:szCs w:val="32"/>
        </w:rPr>
      </w:pPr>
      <w:r>
        <w:rPr>
          <w:rFonts w:hint="eastAsia" w:ascii="宋体" w:hAnsi="宋体" w:cs="宋体"/>
          <w:b/>
          <w:bCs/>
          <w:sz w:val="32"/>
          <w:szCs w:val="32"/>
        </w:rPr>
        <w:t>一、主要职责</w:t>
      </w:r>
    </w:p>
    <w:p w14:paraId="2B1BE882">
      <w:pPr>
        <w:tabs>
          <w:tab w:val="left" w:pos="1648"/>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（一）组织实施中央、省、市关于机关事务工作的法律、法规和方针、政策。拟订县直党政机关事业单位机关事务工作的政策、规划和规章制度并组织实施。</w:t>
      </w:r>
    </w:p>
    <w:p w14:paraId="7EA21EA3">
      <w:pPr>
        <w:tabs>
          <w:tab w:val="left" w:pos="1648"/>
        </w:tabs>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（二）负责县委办公室、县人大常委会办公室</w:t>
      </w:r>
      <w:bookmarkStart w:id="0" w:name="_GoBack"/>
      <w:bookmarkEnd w:id="0"/>
      <w:r>
        <w:rPr>
          <w:rFonts w:hint="eastAsia" w:ascii="仿宋_GB2312" w:hAnsi="仿宋_GB2312" w:eastAsia="仿宋_GB2312" w:cs="仿宋_GB2312"/>
          <w:sz w:val="32"/>
          <w:szCs w:val="32"/>
        </w:rPr>
        <w:t>、县政府办公室、县政协办公室、县直党政机关事业单位集中办公区以及新组建部门（单位）办公区的机关事务工作。</w:t>
      </w:r>
    </w:p>
    <w:p w14:paraId="24E3D7AE">
      <w:pPr>
        <w:tabs>
          <w:tab w:val="left" w:pos="1648"/>
        </w:tabs>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（三）指导全县党政机关事业单位的机关事务工作。组织拟订县直党政机关事业单位的机关事务体制改革政策、制度并监督实施。</w:t>
      </w:r>
    </w:p>
    <w:p w14:paraId="6CD23E22">
      <w:pPr>
        <w:tabs>
          <w:tab w:val="left" w:pos="1648"/>
        </w:tabs>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（四）负责县委、县人大、县政府、县政协重要的公务接待、大型会议和重要活动的接待保障、服务和经费管理工作。</w:t>
      </w:r>
    </w:p>
    <w:p w14:paraId="31E89796">
      <w:pPr>
        <w:tabs>
          <w:tab w:val="left" w:pos="1648"/>
        </w:tabs>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五）负责县直党政机关事业单位办公用房管理工作，制定规章制度并组织实施。按规定负责办公用房的规划编制、权属登记、使用调配、处置维修、物业管理等工作。负责办公用房建设的立项报批、计划编制、建设监管。负责会同有关部门定期对县党政机关事业单位办公用房使用情况进行专项联合巡检。</w:t>
      </w:r>
    </w:p>
    <w:p w14:paraId="78DEA51D">
      <w:pPr>
        <w:tabs>
          <w:tab w:val="left" w:pos="1648"/>
        </w:tabs>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六）按规定负责县直党政机关事业单位公务用车的编制、配备、更新、处置工作，拟订相关制度、办法并监督执行。指导全县党政机关事业单位公务用车管理工作，负责浮山县通讯、应急平台车辆正常运行和安全保障工作。</w:t>
      </w:r>
    </w:p>
    <w:p w14:paraId="31220D91">
      <w:pPr>
        <w:spacing w:line="600" w:lineRule="exact"/>
        <w:ind w:firstLine="645"/>
        <w:rPr>
          <w:rFonts w:ascii="仿宋" w:hAnsi="仿宋" w:eastAsia="仿宋" w:cs="仿宋_GB2312"/>
          <w:sz w:val="32"/>
          <w:szCs w:val="32"/>
        </w:rPr>
      </w:pPr>
      <w:r>
        <w:rPr>
          <w:rFonts w:hint="eastAsia" w:ascii="仿宋_GB2312" w:hAnsi="仿宋_GB2312" w:eastAsia="仿宋_GB2312" w:cs="仿宋_GB2312"/>
          <w:sz w:val="32"/>
          <w:szCs w:val="32"/>
        </w:rPr>
        <w:t>（七）负责县委、县人大、县政府、县政协机关办公区域和生活区域水、电、暖的正常使用；负责各种设施、设备安全运行；</w:t>
      </w:r>
      <w:r>
        <w:rPr>
          <w:rFonts w:hint="eastAsia" w:ascii="仿宋" w:hAnsi="仿宋" w:eastAsia="仿宋" w:cs="仿宋_GB2312"/>
          <w:sz w:val="32"/>
          <w:szCs w:val="32"/>
        </w:rPr>
        <w:t>负责机关办公区、生活区的环境卫生，庭绿化、花卉管理等工作。</w:t>
      </w:r>
    </w:p>
    <w:p w14:paraId="30235842">
      <w:pPr>
        <w:spacing w:line="600" w:lineRule="exact"/>
        <w:ind w:firstLine="645"/>
        <w:rPr>
          <w:rFonts w:ascii="仿宋" w:hAnsi="仿宋" w:eastAsia="仿宋" w:cs="仿宋_GB2312"/>
          <w:sz w:val="32"/>
          <w:szCs w:val="32"/>
        </w:rPr>
      </w:pPr>
      <w:r>
        <w:rPr>
          <w:rFonts w:hint="eastAsia" w:ascii="仿宋" w:hAnsi="仿宋" w:eastAsia="仿宋" w:cs="仿宋_GB2312"/>
          <w:sz w:val="32"/>
          <w:szCs w:val="32"/>
        </w:rPr>
        <w:t>（八）负责</w:t>
      </w:r>
      <w:r>
        <w:rPr>
          <w:rFonts w:hint="eastAsia" w:ascii="仿宋_GB2312" w:hAnsi="仿宋_GB2312" w:eastAsia="仿宋_GB2312" w:cs="仿宋_GB2312"/>
          <w:sz w:val="32"/>
          <w:szCs w:val="32"/>
        </w:rPr>
        <w:t>县委、县人大、县政府、县政协</w:t>
      </w:r>
      <w:r>
        <w:rPr>
          <w:rFonts w:hint="eastAsia" w:ascii="仿宋" w:hAnsi="仿宋" w:eastAsia="仿宋" w:cs="仿宋_GB2312"/>
          <w:sz w:val="32"/>
          <w:szCs w:val="32"/>
        </w:rPr>
        <w:t>机关的安全保卫工作，重点搞好机关办公大楼、财务、机要、档案等要害部的安全规范和安全保卫工作。</w:t>
      </w:r>
    </w:p>
    <w:p w14:paraId="59C941AC">
      <w:pPr>
        <w:spacing w:line="600" w:lineRule="exac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（九）完成县委、县人大、县人民政府、县政协交办的其他任务</w:t>
      </w:r>
      <w:r>
        <w:rPr>
          <w:rFonts w:hint="eastAsia" w:ascii="仿宋_GB2312" w:hAnsi="楷体_GB2312" w:eastAsia="仿宋_GB2312" w:cs="仿宋_GB2312"/>
          <w:sz w:val="32"/>
          <w:szCs w:val="32"/>
        </w:rPr>
        <w:t>。</w:t>
      </w:r>
    </w:p>
    <w:p w14:paraId="1C9ED75F">
      <w:pPr>
        <w:ind w:firstLine="723" w:firstLineChars="200"/>
        <w:rPr>
          <w:rFonts w:ascii="楷体" w:hAnsi="楷体" w:eastAsia="楷体" w:cs="Times New Roman"/>
          <w:b/>
          <w:bCs/>
          <w:sz w:val="36"/>
          <w:szCs w:val="36"/>
        </w:rPr>
      </w:pPr>
      <w:r>
        <w:rPr>
          <w:rFonts w:hint="eastAsia" w:ascii="楷体" w:hAnsi="楷体" w:eastAsia="楷体" w:cs="楷体"/>
          <w:b/>
          <w:bCs/>
          <w:sz w:val="36"/>
          <w:szCs w:val="36"/>
        </w:rPr>
        <w:t>二、机构设置情况</w:t>
      </w:r>
    </w:p>
    <w:p w14:paraId="7ADBD73B">
      <w:pPr>
        <w:spacing w:line="600" w:lineRule="exact"/>
        <w:ind w:firstLine="645"/>
        <w:rPr>
          <w:rFonts w:ascii="仿宋" w:hAnsi="仿宋" w:eastAsia="仿宋" w:cs="仿宋_GB2312"/>
          <w:sz w:val="32"/>
          <w:szCs w:val="32"/>
        </w:rPr>
      </w:pPr>
      <w:r>
        <w:rPr>
          <w:rFonts w:hint="eastAsia" w:ascii="仿宋" w:hAnsi="仿宋" w:eastAsia="仿宋" w:cs="仿宋_GB2312"/>
          <w:sz w:val="32"/>
          <w:szCs w:val="32"/>
        </w:rPr>
        <w:t>我单位位于浮山县天坛路153号，参照公务员执行的事业单位，正科级建制单位。现有干部职工28人；其中局领导班子成员3名，局长、副局长3名。一般工作人员22人，临时工作人员36人，离退休23人。</w:t>
      </w:r>
    </w:p>
    <w:p w14:paraId="4DD91F2D">
      <w:pPr>
        <w:spacing w:line="600" w:lineRule="exact"/>
        <w:ind w:firstLine="645"/>
        <w:rPr>
          <w:rFonts w:ascii="仿宋_GB2312" w:hAnsi="楷体_GB2312" w:eastAsia="仿宋_GB2312" w:cs="仿宋_GB2312"/>
          <w:sz w:val="36"/>
          <w:szCs w:val="36"/>
        </w:rPr>
      </w:pPr>
      <w:r>
        <w:rPr>
          <w:rFonts w:hint="eastAsia" w:ascii="仿宋" w:hAnsi="仿宋" w:eastAsia="仿宋" w:cs="仿宋_GB2312"/>
          <w:sz w:val="32"/>
          <w:szCs w:val="32"/>
        </w:rPr>
        <w:t>内设机构：办公室、计划财务股、办公用房和资产管理股、通讯应急平台和公务用车管理股、接待办公室、安全保卫室、综合服务股。</w:t>
      </w:r>
    </w:p>
    <w:p w14:paraId="7F79F0ED">
      <w:pPr>
        <w:ind w:firstLine="720" w:firstLineChars="200"/>
        <w:rPr>
          <w:rFonts w:ascii="黑体" w:hAnsi="黑体" w:eastAsia="黑体" w:cs="黑体"/>
          <w:sz w:val="36"/>
          <w:szCs w:val="36"/>
        </w:rPr>
      </w:pPr>
    </w:p>
    <w:p w14:paraId="47BDA74D">
      <w:pPr>
        <w:ind w:firstLine="1440" w:firstLineChars="400"/>
        <w:jc w:val="center"/>
        <w:rPr>
          <w:rFonts w:ascii="黑体" w:hAnsi="黑体" w:eastAsia="黑体" w:cs="黑体"/>
          <w:b/>
          <w:bCs/>
          <w:sz w:val="36"/>
          <w:szCs w:val="36"/>
        </w:rPr>
      </w:pPr>
      <w:r>
        <w:rPr>
          <w:rFonts w:hint="eastAsia" w:ascii="黑体" w:hAnsi="黑体" w:eastAsia="黑体" w:cs="黑体"/>
          <w:sz w:val="36"/>
          <w:szCs w:val="36"/>
        </w:rPr>
        <w:t>第二部分</w:t>
      </w:r>
      <w:r>
        <w:rPr>
          <w:rFonts w:hint="eastAsia" w:ascii="黑体" w:hAnsi="黑体" w:eastAsia="黑体" w:cs="黑体"/>
          <w:b/>
          <w:bCs/>
          <w:sz w:val="36"/>
          <w:szCs w:val="36"/>
        </w:rPr>
        <w:t>浮山县机关事务管理局</w:t>
      </w:r>
      <w:r>
        <w:rPr>
          <w:rFonts w:ascii="黑体" w:hAnsi="黑体" w:eastAsia="黑体" w:cs="黑体"/>
          <w:b/>
          <w:bCs/>
          <w:sz w:val="36"/>
          <w:szCs w:val="36"/>
        </w:rPr>
        <w:t>201</w:t>
      </w:r>
      <w:r>
        <w:rPr>
          <w:rFonts w:hint="eastAsia" w:ascii="黑体" w:hAnsi="黑体" w:eastAsia="黑体" w:cs="黑体"/>
          <w:b/>
          <w:bCs/>
          <w:sz w:val="36"/>
          <w:szCs w:val="36"/>
        </w:rPr>
        <w:t>9年度</w:t>
      </w:r>
    </w:p>
    <w:p w14:paraId="519A11A3">
      <w:pPr>
        <w:ind w:firstLine="1446" w:firstLineChars="400"/>
        <w:jc w:val="center"/>
        <w:rPr>
          <w:rFonts w:ascii="黑体" w:hAnsi="黑体" w:eastAsia="黑体" w:cs="黑体"/>
          <w:b/>
          <w:bCs/>
          <w:sz w:val="36"/>
          <w:szCs w:val="36"/>
        </w:rPr>
      </w:pPr>
      <w:r>
        <w:rPr>
          <w:rFonts w:hint="eastAsia" w:ascii="黑体" w:hAnsi="黑体" w:eastAsia="黑体" w:cs="黑体"/>
          <w:b/>
          <w:bCs/>
          <w:sz w:val="36"/>
          <w:szCs w:val="36"/>
        </w:rPr>
        <w:t>部门预算报表</w:t>
      </w:r>
    </w:p>
    <w:p w14:paraId="4D9E86D0">
      <w:pPr>
        <w:ind w:firstLine="723" w:firstLineChars="200"/>
        <w:rPr>
          <w:rFonts w:ascii="黑体" w:hAnsi="黑体" w:eastAsia="黑体" w:cs="黑体"/>
          <w:b/>
          <w:bCs/>
          <w:sz w:val="36"/>
          <w:szCs w:val="36"/>
        </w:rPr>
      </w:pPr>
    </w:p>
    <w:p w14:paraId="36C998AD">
      <w:pPr>
        <w:numPr>
          <w:ilvl w:val="0"/>
          <w:numId w:val="1"/>
        </w:numPr>
        <w:ind w:firstLine="720" w:firstLineChars="200"/>
        <w:rPr>
          <w:rFonts w:ascii="楷体" w:hAnsi="楷体" w:eastAsia="楷体" w:cs="Times New Roman"/>
          <w:sz w:val="36"/>
          <w:szCs w:val="36"/>
        </w:rPr>
      </w:pPr>
      <w:r>
        <w:rPr>
          <w:rFonts w:ascii="楷体" w:hAnsi="楷体" w:eastAsia="楷体" w:cs="楷体"/>
          <w:sz w:val="36"/>
          <w:szCs w:val="36"/>
        </w:rPr>
        <w:t>201</w:t>
      </w:r>
      <w:r>
        <w:rPr>
          <w:rFonts w:hint="eastAsia" w:ascii="楷体" w:hAnsi="楷体" w:eastAsia="楷体" w:cs="楷体"/>
          <w:sz w:val="36"/>
          <w:szCs w:val="36"/>
        </w:rPr>
        <w:t>9年预算收支总表</w:t>
      </w:r>
    </w:p>
    <w:p w14:paraId="67DA9573">
      <w:pPr>
        <w:numPr>
          <w:ilvl w:val="0"/>
          <w:numId w:val="1"/>
        </w:numPr>
        <w:ind w:firstLine="720" w:firstLineChars="200"/>
        <w:rPr>
          <w:rFonts w:ascii="楷体" w:hAnsi="楷体" w:eastAsia="楷体" w:cs="Times New Roman"/>
          <w:sz w:val="36"/>
          <w:szCs w:val="36"/>
        </w:rPr>
      </w:pPr>
      <w:r>
        <w:rPr>
          <w:rFonts w:ascii="楷体" w:hAnsi="楷体" w:eastAsia="楷体" w:cs="楷体"/>
          <w:sz w:val="36"/>
          <w:szCs w:val="36"/>
        </w:rPr>
        <w:t>201</w:t>
      </w:r>
      <w:r>
        <w:rPr>
          <w:rFonts w:hint="eastAsia" w:ascii="楷体" w:hAnsi="楷体" w:eastAsia="楷体" w:cs="楷体"/>
          <w:sz w:val="36"/>
          <w:szCs w:val="36"/>
        </w:rPr>
        <w:t>9年预算收入总表</w:t>
      </w:r>
    </w:p>
    <w:p w14:paraId="2C448190">
      <w:pPr>
        <w:ind w:firstLine="720" w:firstLineChars="200"/>
        <w:rPr>
          <w:rFonts w:ascii="楷体" w:hAnsi="楷体" w:eastAsia="楷体" w:cs="Times New Roman"/>
          <w:sz w:val="36"/>
          <w:szCs w:val="36"/>
        </w:rPr>
      </w:pPr>
      <w:r>
        <w:rPr>
          <w:rFonts w:hint="eastAsia" w:ascii="楷体" w:hAnsi="楷体" w:eastAsia="楷体" w:cs="楷体"/>
          <w:sz w:val="36"/>
          <w:szCs w:val="36"/>
        </w:rPr>
        <w:t>三、</w:t>
      </w:r>
      <w:r>
        <w:rPr>
          <w:rFonts w:ascii="楷体" w:hAnsi="楷体" w:eastAsia="楷体" w:cs="楷体"/>
          <w:sz w:val="36"/>
          <w:szCs w:val="36"/>
        </w:rPr>
        <w:t>201</w:t>
      </w:r>
      <w:r>
        <w:rPr>
          <w:rFonts w:hint="eastAsia" w:ascii="楷体" w:hAnsi="楷体" w:eastAsia="楷体" w:cs="楷体"/>
          <w:sz w:val="36"/>
          <w:szCs w:val="36"/>
        </w:rPr>
        <w:t>9年预算支出总表</w:t>
      </w:r>
    </w:p>
    <w:p w14:paraId="5484896E">
      <w:pPr>
        <w:ind w:firstLine="720" w:firstLineChars="200"/>
        <w:rPr>
          <w:rFonts w:ascii="楷体" w:hAnsi="楷体" w:eastAsia="楷体" w:cs="Times New Roman"/>
          <w:sz w:val="36"/>
          <w:szCs w:val="36"/>
        </w:rPr>
      </w:pPr>
      <w:r>
        <w:rPr>
          <w:rFonts w:hint="eastAsia" w:ascii="楷体" w:hAnsi="楷体" w:eastAsia="楷体" w:cs="楷体"/>
          <w:sz w:val="36"/>
          <w:szCs w:val="36"/>
        </w:rPr>
        <w:t>四、</w:t>
      </w:r>
      <w:r>
        <w:rPr>
          <w:rFonts w:ascii="楷体" w:hAnsi="楷体" w:eastAsia="楷体" w:cs="楷体"/>
          <w:sz w:val="36"/>
          <w:szCs w:val="36"/>
        </w:rPr>
        <w:t>201</w:t>
      </w:r>
      <w:r>
        <w:rPr>
          <w:rFonts w:hint="eastAsia" w:ascii="楷体" w:hAnsi="楷体" w:eastAsia="楷体" w:cs="楷体"/>
          <w:sz w:val="36"/>
          <w:szCs w:val="36"/>
        </w:rPr>
        <w:t>9年财政拨款收支总表</w:t>
      </w:r>
    </w:p>
    <w:p w14:paraId="2B211249">
      <w:pPr>
        <w:ind w:firstLine="720" w:firstLineChars="200"/>
        <w:rPr>
          <w:rFonts w:ascii="楷体" w:hAnsi="楷体" w:eastAsia="楷体" w:cs="Times New Roman"/>
          <w:sz w:val="36"/>
          <w:szCs w:val="36"/>
        </w:rPr>
      </w:pPr>
      <w:r>
        <w:rPr>
          <w:rFonts w:hint="eastAsia" w:ascii="楷体" w:hAnsi="楷体" w:eastAsia="楷体" w:cs="楷体"/>
          <w:sz w:val="36"/>
          <w:szCs w:val="36"/>
        </w:rPr>
        <w:t>五、</w:t>
      </w:r>
      <w:r>
        <w:rPr>
          <w:rFonts w:ascii="楷体" w:hAnsi="楷体" w:eastAsia="楷体" w:cs="楷体"/>
          <w:sz w:val="36"/>
          <w:szCs w:val="36"/>
        </w:rPr>
        <w:t>201</w:t>
      </w:r>
      <w:r>
        <w:rPr>
          <w:rFonts w:hint="eastAsia" w:ascii="楷体" w:hAnsi="楷体" w:eastAsia="楷体" w:cs="楷体"/>
          <w:sz w:val="36"/>
          <w:szCs w:val="36"/>
        </w:rPr>
        <w:t>9年一般公共预算支出预算表</w:t>
      </w:r>
    </w:p>
    <w:p w14:paraId="2E7428B1">
      <w:pPr>
        <w:ind w:firstLine="720" w:firstLineChars="200"/>
        <w:rPr>
          <w:rFonts w:ascii="楷体" w:hAnsi="楷体" w:eastAsia="楷体" w:cs="Times New Roman"/>
          <w:sz w:val="36"/>
          <w:szCs w:val="36"/>
        </w:rPr>
      </w:pPr>
      <w:r>
        <w:rPr>
          <w:rFonts w:hint="eastAsia" w:ascii="楷体" w:hAnsi="楷体" w:eastAsia="楷体" w:cs="楷体"/>
          <w:sz w:val="36"/>
          <w:szCs w:val="36"/>
        </w:rPr>
        <w:t>六、</w:t>
      </w:r>
      <w:r>
        <w:rPr>
          <w:rFonts w:ascii="楷体" w:hAnsi="楷体" w:eastAsia="楷体" w:cs="楷体"/>
          <w:sz w:val="36"/>
          <w:szCs w:val="36"/>
        </w:rPr>
        <w:t>201</w:t>
      </w:r>
      <w:r>
        <w:rPr>
          <w:rFonts w:hint="eastAsia" w:ascii="楷体" w:hAnsi="楷体" w:eastAsia="楷体" w:cs="楷体"/>
          <w:sz w:val="36"/>
          <w:szCs w:val="36"/>
        </w:rPr>
        <w:t>9年一般公共预算安排基本支出分经济科目表</w:t>
      </w:r>
    </w:p>
    <w:p w14:paraId="6DA1A60E">
      <w:pPr>
        <w:ind w:firstLine="720" w:firstLineChars="200"/>
        <w:rPr>
          <w:rFonts w:ascii="楷体" w:hAnsi="楷体" w:eastAsia="楷体" w:cs="Times New Roman"/>
          <w:sz w:val="36"/>
          <w:szCs w:val="36"/>
        </w:rPr>
      </w:pPr>
      <w:r>
        <w:rPr>
          <w:rFonts w:hint="eastAsia" w:ascii="楷体" w:hAnsi="楷体" w:eastAsia="楷体" w:cs="楷体"/>
          <w:sz w:val="36"/>
          <w:szCs w:val="36"/>
        </w:rPr>
        <w:t>七、</w:t>
      </w:r>
      <w:r>
        <w:rPr>
          <w:rFonts w:ascii="楷体" w:hAnsi="楷体" w:eastAsia="楷体" w:cs="楷体"/>
          <w:sz w:val="36"/>
          <w:szCs w:val="36"/>
        </w:rPr>
        <w:t>201</w:t>
      </w:r>
      <w:r>
        <w:rPr>
          <w:rFonts w:hint="eastAsia" w:ascii="楷体" w:hAnsi="楷体" w:eastAsia="楷体" w:cs="楷体"/>
          <w:sz w:val="36"/>
          <w:szCs w:val="36"/>
        </w:rPr>
        <w:t>9年政府性基金预算收入预算表</w:t>
      </w:r>
    </w:p>
    <w:p w14:paraId="0A373FC5">
      <w:pPr>
        <w:ind w:firstLine="720" w:firstLineChars="200"/>
        <w:rPr>
          <w:rFonts w:ascii="楷体" w:hAnsi="楷体" w:eastAsia="楷体" w:cs="Times New Roman"/>
          <w:sz w:val="36"/>
          <w:szCs w:val="36"/>
        </w:rPr>
      </w:pPr>
      <w:r>
        <w:rPr>
          <w:rFonts w:hint="eastAsia" w:ascii="楷体" w:hAnsi="楷体" w:eastAsia="楷体" w:cs="楷体"/>
          <w:sz w:val="36"/>
          <w:szCs w:val="36"/>
        </w:rPr>
        <w:t>八、</w:t>
      </w:r>
      <w:r>
        <w:rPr>
          <w:rFonts w:ascii="楷体" w:hAnsi="楷体" w:eastAsia="楷体" w:cs="楷体"/>
          <w:sz w:val="36"/>
          <w:szCs w:val="36"/>
        </w:rPr>
        <w:t>201</w:t>
      </w:r>
      <w:r>
        <w:rPr>
          <w:rFonts w:hint="eastAsia" w:ascii="楷体" w:hAnsi="楷体" w:eastAsia="楷体" w:cs="楷体"/>
          <w:sz w:val="36"/>
          <w:szCs w:val="36"/>
        </w:rPr>
        <w:t>9年政府性基金预算支出预算表</w:t>
      </w:r>
    </w:p>
    <w:p w14:paraId="34251997">
      <w:pPr>
        <w:ind w:firstLine="720" w:firstLineChars="200"/>
        <w:rPr>
          <w:rFonts w:ascii="楷体" w:hAnsi="楷体" w:eastAsia="楷体" w:cs="Times New Roman"/>
          <w:sz w:val="36"/>
          <w:szCs w:val="36"/>
        </w:rPr>
      </w:pPr>
      <w:r>
        <w:rPr>
          <w:rFonts w:hint="eastAsia" w:ascii="楷体" w:hAnsi="楷体" w:eastAsia="楷体" w:cs="楷体"/>
          <w:sz w:val="36"/>
          <w:szCs w:val="36"/>
        </w:rPr>
        <w:t>九、</w:t>
      </w:r>
      <w:r>
        <w:rPr>
          <w:rFonts w:ascii="楷体" w:hAnsi="楷体" w:eastAsia="楷体" w:cs="楷体"/>
          <w:sz w:val="36"/>
          <w:szCs w:val="36"/>
        </w:rPr>
        <w:t>201</w:t>
      </w:r>
      <w:r>
        <w:rPr>
          <w:rFonts w:hint="eastAsia" w:ascii="楷体" w:hAnsi="楷体" w:eastAsia="楷体" w:cs="楷体"/>
          <w:sz w:val="36"/>
          <w:szCs w:val="36"/>
        </w:rPr>
        <w:t>9年“三公”经费预算财政拨款情况统计表</w:t>
      </w:r>
    </w:p>
    <w:p w14:paraId="4B93FF55">
      <w:pPr>
        <w:ind w:firstLine="720" w:firstLineChars="200"/>
        <w:rPr>
          <w:rFonts w:ascii="楷体" w:hAnsi="楷体" w:eastAsia="楷体" w:cs="Times New Roman"/>
          <w:sz w:val="36"/>
          <w:szCs w:val="36"/>
        </w:rPr>
      </w:pPr>
      <w:r>
        <w:rPr>
          <w:rFonts w:hint="eastAsia" w:ascii="楷体" w:hAnsi="楷体" w:eastAsia="楷体" w:cs="楷体"/>
          <w:sz w:val="36"/>
          <w:szCs w:val="36"/>
        </w:rPr>
        <w:t>十、</w:t>
      </w:r>
      <w:r>
        <w:rPr>
          <w:rFonts w:ascii="楷体" w:hAnsi="楷体" w:eastAsia="楷体" w:cs="楷体"/>
          <w:sz w:val="36"/>
          <w:szCs w:val="36"/>
        </w:rPr>
        <w:t>201</w:t>
      </w:r>
      <w:r>
        <w:rPr>
          <w:rFonts w:hint="eastAsia" w:ascii="楷体" w:hAnsi="楷体" w:eastAsia="楷体" w:cs="楷体"/>
          <w:sz w:val="36"/>
          <w:szCs w:val="36"/>
        </w:rPr>
        <w:t>9年机关运行经费预算财政拨款情况统计表</w:t>
      </w:r>
    </w:p>
    <w:p w14:paraId="6FFFEEF8">
      <w:pPr>
        <w:rPr>
          <w:rFonts w:ascii="黑体" w:hAnsi="黑体" w:eastAsia="黑体" w:cs="黑体"/>
          <w:sz w:val="36"/>
          <w:szCs w:val="36"/>
        </w:rPr>
      </w:pPr>
    </w:p>
    <w:p w14:paraId="5E9C4879">
      <w:pPr>
        <w:ind w:firstLine="1440" w:firstLineChars="400"/>
        <w:rPr>
          <w:rFonts w:ascii="黑体" w:hAnsi="黑体" w:eastAsia="黑体" w:cs="Times New Roman"/>
          <w:sz w:val="36"/>
          <w:szCs w:val="36"/>
        </w:rPr>
      </w:pPr>
      <w:r>
        <w:rPr>
          <w:rFonts w:hint="eastAsia" w:ascii="黑体" w:hAnsi="黑体" w:eastAsia="黑体" w:cs="黑体"/>
          <w:sz w:val="36"/>
          <w:szCs w:val="36"/>
        </w:rPr>
        <w:t>第三部分</w:t>
      </w:r>
      <w:r>
        <w:rPr>
          <w:rFonts w:ascii="黑体" w:hAnsi="黑体" w:eastAsia="黑体" w:cs="黑体"/>
          <w:sz w:val="36"/>
          <w:szCs w:val="36"/>
        </w:rPr>
        <w:t xml:space="preserve">  201</w:t>
      </w:r>
      <w:r>
        <w:rPr>
          <w:rFonts w:hint="eastAsia" w:ascii="黑体" w:hAnsi="黑体" w:eastAsia="黑体" w:cs="黑体"/>
          <w:sz w:val="36"/>
          <w:szCs w:val="36"/>
        </w:rPr>
        <w:t>9年度部门预算情况说明</w:t>
      </w:r>
    </w:p>
    <w:p w14:paraId="3FD44F3D">
      <w:pPr>
        <w:rPr>
          <w:rFonts w:ascii="楷体" w:hAnsi="楷体" w:eastAsia="楷体" w:cs="楷体"/>
          <w:sz w:val="36"/>
          <w:szCs w:val="36"/>
        </w:rPr>
      </w:pPr>
    </w:p>
    <w:p w14:paraId="07CA6947">
      <w:pPr>
        <w:rPr>
          <w:rFonts w:ascii="??" w:hAnsi="??" w:eastAsia="Times New Roman" w:cs="Times New Roman"/>
          <w:sz w:val="36"/>
          <w:szCs w:val="36"/>
        </w:rPr>
      </w:pPr>
      <w:r>
        <w:rPr>
          <w:rFonts w:hint="eastAsia" w:ascii="楷体" w:hAnsi="楷体" w:eastAsia="楷体" w:cs="楷体"/>
          <w:sz w:val="36"/>
          <w:szCs w:val="36"/>
        </w:rPr>
        <w:t>一、</w:t>
      </w:r>
      <w:r>
        <w:rPr>
          <w:rFonts w:ascii="楷体" w:hAnsi="楷体" w:eastAsia="楷体" w:cs="楷体"/>
          <w:sz w:val="36"/>
          <w:szCs w:val="36"/>
        </w:rPr>
        <w:t>201</w:t>
      </w:r>
      <w:r>
        <w:rPr>
          <w:rFonts w:hint="eastAsia" w:ascii="楷体" w:hAnsi="楷体" w:eastAsia="楷体" w:cs="楷体"/>
          <w:sz w:val="36"/>
          <w:szCs w:val="36"/>
        </w:rPr>
        <w:t>9年度部门预算数据变动情况及原因</w:t>
      </w:r>
    </w:p>
    <w:p w14:paraId="30017AC1">
      <w:pPr>
        <w:tabs>
          <w:tab w:val="left" w:pos="1648"/>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2019年部门预算822.45万元，2018年部门预算582.7万元，增加239.75万元，因机构改革原浮山县机关事务管理局和接待处合并、应实行新工资标准人员工资、工会经费和福利费增加等因素。</w:t>
      </w:r>
    </w:p>
    <w:p w14:paraId="407312C1">
      <w:pPr>
        <w:tabs>
          <w:tab w:val="left" w:pos="1648"/>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其中，2019年预算用于工资福利支出301.1万元，2018年预算用于工资福利支出274.77万元，增加26.33万元，因为因机构改革原浮山县机关事务管理局和接待处合并人员增加。</w:t>
      </w:r>
    </w:p>
    <w:p w14:paraId="30835195">
      <w:pPr>
        <w:tabs>
          <w:tab w:val="left" w:pos="1648"/>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2019年预算对个人和家庭的补助支出139.94万元，2017年预算个人和家庭的补助支出128.26万元，增加11.68万元，因为因机构改革原浮山县机关事务管理局和接待处合并退休人员增加和退休人员工资调整等因素；2019年预算商品和服务支出381.41万元，2018年预算商品和服务支出179.7万元，增加200.71万元，因为增加了接待处的经费和招待费等因素。</w:t>
      </w:r>
    </w:p>
    <w:p w14:paraId="27008603">
      <w:pPr>
        <w:ind w:firstLine="640"/>
        <w:rPr>
          <w:rFonts w:ascii="宋体" w:hAnsi="宋体" w:cs="宋体"/>
          <w:sz w:val="36"/>
          <w:szCs w:val="36"/>
        </w:rPr>
      </w:pPr>
    </w:p>
    <w:p w14:paraId="5C0DCA8A">
      <w:pPr>
        <w:ind w:firstLine="640"/>
        <w:rPr>
          <w:rFonts w:ascii="宋体" w:cs="宋体"/>
          <w:sz w:val="36"/>
          <w:szCs w:val="36"/>
        </w:rPr>
      </w:pPr>
      <w:r>
        <w:rPr>
          <w:rFonts w:hint="eastAsia" w:ascii="宋体" w:hAnsi="宋体" w:cs="宋体"/>
          <w:sz w:val="36"/>
          <w:szCs w:val="36"/>
        </w:rPr>
        <w:t>二、“三公”经费增减变动原因说明</w:t>
      </w:r>
    </w:p>
    <w:p w14:paraId="5B0CBDEA">
      <w:pPr>
        <w:tabs>
          <w:tab w:val="left" w:pos="1648"/>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2019年“三公”经费预算公务用车运行维护费82万元，2018年“三公”经费112.7万元，减少30.7万元。因公车改革车辆集中我单位，平台车辆老化更换一辆车和增加了一辆接待和调研用车。公务接待费200万，为因机构改革原浮山县机关事务管理局和接待处合并，原接待处接待费也一起并入机关事务管理局。</w:t>
      </w:r>
    </w:p>
    <w:p w14:paraId="63345254">
      <w:pPr>
        <w:ind w:firstLine="640"/>
        <w:rPr>
          <w:rFonts w:ascii="宋体" w:hAnsi="宋体" w:cs="宋体"/>
          <w:sz w:val="36"/>
          <w:szCs w:val="36"/>
        </w:rPr>
      </w:pPr>
    </w:p>
    <w:p w14:paraId="4E8469A1">
      <w:pPr>
        <w:ind w:firstLine="640"/>
        <w:rPr>
          <w:rFonts w:ascii="宋体" w:hAnsi="宋体" w:cs="宋体"/>
          <w:sz w:val="36"/>
          <w:szCs w:val="36"/>
        </w:rPr>
      </w:pPr>
      <w:r>
        <w:rPr>
          <w:rFonts w:hint="eastAsia" w:ascii="宋体" w:hAnsi="宋体" w:cs="宋体"/>
          <w:sz w:val="36"/>
          <w:szCs w:val="36"/>
        </w:rPr>
        <w:t>三、机关运行经费增减变动原因说明</w:t>
      </w:r>
    </w:p>
    <w:p w14:paraId="0F4343D4">
      <w:pPr>
        <w:tabs>
          <w:tab w:val="left" w:pos="1648"/>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我单位2019年单位机关运行经费财政拨款预算381.41万元，2018年机关运行经费预算179.7万元，增加200.71万元，因为增加了接待处的经费和招待费等因素。</w:t>
      </w:r>
    </w:p>
    <w:p w14:paraId="26A07481">
      <w:pPr>
        <w:tabs>
          <w:tab w:val="left" w:pos="1648"/>
        </w:tabs>
        <w:spacing w:line="600" w:lineRule="exact"/>
        <w:ind w:firstLine="640" w:firstLineChars="200"/>
        <w:rPr>
          <w:rFonts w:ascii="仿宋_GB2312" w:hAnsi="仿宋_GB2312" w:eastAsia="仿宋_GB2312" w:cs="仿宋_GB2312"/>
          <w:sz w:val="32"/>
          <w:szCs w:val="32"/>
        </w:rPr>
      </w:pPr>
    </w:p>
    <w:p w14:paraId="2EDFEBC4">
      <w:pPr>
        <w:ind w:firstLine="640"/>
        <w:rPr>
          <w:rFonts w:ascii="宋体" w:hAnsi="宋体" w:cs="宋体"/>
          <w:sz w:val="36"/>
          <w:szCs w:val="36"/>
        </w:rPr>
      </w:pPr>
      <w:r>
        <w:rPr>
          <w:rFonts w:hint="eastAsia" w:ascii="宋体" w:hAnsi="宋体" w:cs="宋体"/>
          <w:sz w:val="36"/>
          <w:szCs w:val="36"/>
        </w:rPr>
        <w:t>四、政府采购情况</w:t>
      </w:r>
    </w:p>
    <w:p w14:paraId="059C42F0">
      <w:pPr>
        <w:tabs>
          <w:tab w:val="left" w:pos="1648"/>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2019年我单位政府采购预算为82万元，主要平台车辆维修、保险、燃油方面的采购。</w:t>
      </w:r>
    </w:p>
    <w:p w14:paraId="6E6FD209">
      <w:pPr>
        <w:ind w:firstLine="640"/>
        <w:rPr>
          <w:rFonts w:ascii="宋体" w:hAnsi="宋体" w:cs="宋体"/>
          <w:sz w:val="36"/>
          <w:szCs w:val="36"/>
        </w:rPr>
      </w:pPr>
    </w:p>
    <w:p w14:paraId="4875667D">
      <w:pPr>
        <w:ind w:firstLine="640"/>
        <w:rPr>
          <w:rFonts w:ascii="宋体" w:hAnsi="宋体" w:cs="宋体"/>
          <w:sz w:val="36"/>
          <w:szCs w:val="36"/>
        </w:rPr>
      </w:pPr>
      <w:r>
        <w:rPr>
          <w:rFonts w:hint="eastAsia" w:ascii="宋体" w:hAnsi="宋体" w:cs="宋体"/>
          <w:sz w:val="36"/>
          <w:szCs w:val="36"/>
        </w:rPr>
        <w:t>五、绩效管理情况</w:t>
      </w:r>
    </w:p>
    <w:p w14:paraId="274EA636">
      <w:pPr>
        <w:tabs>
          <w:tab w:val="left" w:pos="1648"/>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单位2019年实行绩效目标管理的项目无</w:t>
      </w:r>
    </w:p>
    <w:p w14:paraId="63228546">
      <w:pPr>
        <w:tabs>
          <w:tab w:val="left" w:pos="1648"/>
        </w:tabs>
        <w:spacing w:line="600" w:lineRule="exact"/>
        <w:ind w:firstLine="720" w:firstLineChars="200"/>
        <w:rPr>
          <w:rFonts w:ascii="宋体" w:hAnsi="宋体" w:cs="宋体"/>
          <w:sz w:val="36"/>
          <w:szCs w:val="36"/>
        </w:rPr>
      </w:pPr>
    </w:p>
    <w:p w14:paraId="06B3AB58">
      <w:pPr>
        <w:tabs>
          <w:tab w:val="left" w:pos="1648"/>
        </w:tabs>
        <w:spacing w:line="600" w:lineRule="exact"/>
        <w:ind w:firstLine="720" w:firstLineChars="200"/>
        <w:rPr>
          <w:rFonts w:ascii="宋体" w:hAnsi="宋体" w:cs="宋体"/>
          <w:sz w:val="36"/>
          <w:szCs w:val="36"/>
        </w:rPr>
      </w:pPr>
      <w:r>
        <w:rPr>
          <w:rFonts w:hint="eastAsia" w:ascii="宋体" w:hAnsi="宋体" w:cs="宋体"/>
          <w:sz w:val="36"/>
          <w:szCs w:val="36"/>
        </w:rPr>
        <w:t>六、其他说明</w:t>
      </w:r>
    </w:p>
    <w:p w14:paraId="4D2375CC">
      <w:pPr>
        <w:tabs>
          <w:tab w:val="left" w:pos="1648"/>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（一）国有资产占有使用情况</w:t>
      </w:r>
    </w:p>
    <w:p w14:paraId="291FDCFF">
      <w:pPr>
        <w:spacing w:line="600" w:lineRule="exact"/>
        <w:ind w:firstLine="640" w:firstLineChars="200"/>
        <w:rPr>
          <w:rFonts w:ascii="仿宋_GB2312" w:eastAsia="仿宋_GB2312"/>
          <w:sz w:val="32"/>
          <w:szCs w:val="32"/>
        </w:rPr>
      </w:pPr>
      <w:r>
        <w:rPr>
          <w:rFonts w:hint="eastAsia" w:ascii="仿宋_GB2312" w:eastAsia="仿宋_GB2312"/>
          <w:sz w:val="32"/>
          <w:szCs w:val="32"/>
        </w:rPr>
        <w:t>截止到</w:t>
      </w:r>
      <w:r>
        <w:rPr>
          <w:rFonts w:ascii="仿宋_GB2312" w:eastAsia="仿宋_GB2312"/>
          <w:sz w:val="32"/>
          <w:szCs w:val="32"/>
        </w:rPr>
        <w:t>201</w:t>
      </w:r>
      <w:r>
        <w:rPr>
          <w:rFonts w:hint="eastAsia" w:ascii="仿宋_GB2312" w:eastAsia="仿宋_GB2312"/>
          <w:sz w:val="32"/>
          <w:szCs w:val="32"/>
        </w:rPr>
        <w:t>8年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日，本单位固定资产年末数1681.21</w:t>
      </w:r>
    </w:p>
    <w:p w14:paraId="3813EFCC">
      <w:pPr>
        <w:spacing w:line="600" w:lineRule="exact"/>
        <w:rPr>
          <w:rFonts w:ascii="仿宋_GB2312" w:eastAsia="仿宋_GB2312"/>
          <w:sz w:val="32"/>
          <w:szCs w:val="32"/>
        </w:rPr>
      </w:pPr>
      <w:r>
        <w:rPr>
          <w:rFonts w:hint="eastAsia" w:ascii="仿宋_GB2312" w:eastAsia="仿宋_GB2312"/>
          <w:sz w:val="32"/>
          <w:szCs w:val="32"/>
        </w:rPr>
        <w:t>万元。2017年固定资产1291.76万元，比上年增加389.45万元，原因是通信应急平台车辆调拨我单位，我单位新增辆接待和调研用车等因素。本单位共有车辆34辆，单位价值</w:t>
      </w:r>
      <w:r>
        <w:rPr>
          <w:rFonts w:ascii="仿宋_GB2312" w:eastAsia="仿宋_GB2312"/>
          <w:sz w:val="32"/>
          <w:szCs w:val="32"/>
        </w:rPr>
        <w:t>50</w:t>
      </w:r>
      <w:r>
        <w:rPr>
          <w:rFonts w:hint="eastAsia" w:ascii="仿宋_GB2312" w:eastAsia="仿宋_GB2312"/>
          <w:sz w:val="32"/>
          <w:szCs w:val="32"/>
        </w:rPr>
        <w:t>万元以上的通用设备</w:t>
      </w:r>
      <w:r>
        <w:rPr>
          <w:rFonts w:ascii="仿宋_GB2312" w:eastAsia="仿宋_GB2312"/>
          <w:sz w:val="32"/>
          <w:szCs w:val="32"/>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ascii="仿宋_GB2312" w:eastAsia="仿宋_GB2312"/>
          <w:sz w:val="32"/>
          <w:szCs w:val="32"/>
        </w:rPr>
        <w:t>0</w:t>
      </w:r>
      <w:r>
        <w:rPr>
          <w:rFonts w:hint="eastAsia" w:ascii="仿宋_GB2312" w:eastAsia="仿宋_GB2312"/>
          <w:sz w:val="32"/>
          <w:szCs w:val="32"/>
        </w:rPr>
        <w:t>台。</w:t>
      </w:r>
    </w:p>
    <w:p w14:paraId="2D3BA17E">
      <w:pPr>
        <w:tabs>
          <w:tab w:val="left" w:pos="1648"/>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（二）其他</w:t>
      </w:r>
    </w:p>
    <w:p w14:paraId="2E25DAB3">
      <w:pPr>
        <w:tabs>
          <w:tab w:val="left" w:pos="1648"/>
        </w:tabs>
        <w:spacing w:line="600" w:lineRule="exact"/>
        <w:rPr>
          <w:rFonts w:ascii="仿宋_GB2312" w:hAnsi="仿宋_GB2312" w:eastAsia="仿宋_GB2312" w:cs="仿宋_GB2312"/>
          <w:sz w:val="32"/>
          <w:szCs w:val="32"/>
        </w:rPr>
      </w:pPr>
    </w:p>
    <w:p w14:paraId="6A2257D7">
      <w:pPr>
        <w:tabs>
          <w:tab w:val="left" w:pos="1648"/>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第四部分  名词解释</w:t>
      </w:r>
    </w:p>
    <w:p w14:paraId="658DC4E0">
      <w:pPr>
        <w:tabs>
          <w:tab w:val="left" w:pos="1648"/>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（一）基本支出：指为保障机构正常运转、完成日常</w:t>
      </w:r>
    </w:p>
    <w:p w14:paraId="160311CA">
      <w:pPr>
        <w:tabs>
          <w:tab w:val="left" w:pos="1648"/>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工作任务而发生的人员支出和公用支出。</w:t>
      </w:r>
    </w:p>
    <w:p w14:paraId="5DBFE1BC">
      <w:pPr>
        <w:tabs>
          <w:tab w:val="left" w:pos="1648"/>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（二）项目支出：指在基本支出之外为完成特定行政任</w:t>
      </w:r>
    </w:p>
    <w:p w14:paraId="32F848E3">
      <w:pPr>
        <w:tabs>
          <w:tab w:val="left" w:pos="1648"/>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务和事业发展目标所发生的支出。</w:t>
      </w:r>
    </w:p>
    <w:p w14:paraId="2056D09B">
      <w:pPr>
        <w:tabs>
          <w:tab w:val="left" w:pos="1648"/>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14:paraId="54410387">
      <w:pPr>
        <w:tabs>
          <w:tab w:val="left" w:pos="1648"/>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（四）机关运行经费：指行政单位和参照公务员法管理的事业单位使用一般公共预算安排的基本支出中的日常公用经费支出。</w:t>
      </w:r>
    </w:p>
    <w:p w14:paraId="2FF65BD8">
      <w:pPr>
        <w:tabs>
          <w:tab w:val="left" w:pos="1648"/>
        </w:tabs>
        <w:spacing w:line="600" w:lineRule="exact"/>
        <w:ind w:firstLine="640" w:firstLineChars="200"/>
        <w:rPr>
          <w:rFonts w:ascii="仿宋_GB2312" w:hAnsi="仿宋_GB2312" w:eastAsia="仿宋_GB2312" w:cs="仿宋_GB2312"/>
          <w:sz w:val="32"/>
          <w:szCs w:val="32"/>
        </w:rPr>
      </w:pPr>
    </w:p>
    <w:p w14:paraId="693D6188">
      <w:pPr>
        <w:tabs>
          <w:tab w:val="left" w:pos="1648"/>
        </w:tabs>
        <w:spacing w:line="600" w:lineRule="exact"/>
        <w:ind w:firstLine="640" w:firstLineChars="200"/>
        <w:rPr>
          <w:rFonts w:ascii="仿宋_GB2312" w:hAnsi="仿宋_GB2312" w:eastAsia="仿宋_GB2312" w:cs="仿宋_GB2312"/>
          <w:sz w:val="32"/>
          <w:szCs w:val="32"/>
        </w:rPr>
      </w:pPr>
    </w:p>
    <w:sectPr>
      <w:headerReference r:id="rId3" w:type="default"/>
      <w:footerReference r:id="rId4" w:type="default"/>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
    <w:altName w:val="Times New Roman"/>
    <w:panose1 w:val="00000000000000000000"/>
    <w:charset w:val="00"/>
    <w:family w:val="auto"/>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6650A">
    <w:pPr>
      <w:pStyle w:val="2"/>
      <w:framePr w:w="1904" w:h="376" w:hRule="exact" w:wrap="around" w:vAnchor="text" w:hAnchor="page" w:x="8518" w:y="11"/>
      <w:ind w:firstLine="560" w:firstLineChars="200"/>
      <w:rPr>
        <w:rStyle w:val="7"/>
        <w:rFonts w:ascii="宋体" w:cs="Times New Roman"/>
        <w:sz w:val="28"/>
        <w:szCs w:val="28"/>
      </w:rPr>
    </w:pPr>
    <w:r>
      <w:rPr>
        <w:rStyle w:val="7"/>
        <w:rFonts w:ascii="宋体" w:hAnsi="宋体" w:cs="宋体"/>
        <w:sz w:val="28"/>
        <w:szCs w:val="28"/>
      </w:rPr>
      <w:t xml:space="preserve">— </w:t>
    </w:r>
    <w:r>
      <w:rPr>
        <w:rStyle w:val="7"/>
        <w:rFonts w:ascii="宋体" w:hAnsi="宋体" w:cs="宋体"/>
        <w:sz w:val="28"/>
        <w:szCs w:val="28"/>
      </w:rPr>
      <w:fldChar w:fldCharType="begin"/>
    </w:r>
    <w:r>
      <w:rPr>
        <w:rStyle w:val="7"/>
        <w:rFonts w:ascii="宋体" w:hAnsi="宋体" w:cs="宋体"/>
        <w:sz w:val="28"/>
        <w:szCs w:val="28"/>
      </w:rPr>
      <w:instrText xml:space="preserve">PAGE  </w:instrText>
    </w:r>
    <w:r>
      <w:rPr>
        <w:rStyle w:val="7"/>
        <w:rFonts w:ascii="宋体" w:hAnsi="宋体" w:cs="宋体"/>
        <w:sz w:val="28"/>
        <w:szCs w:val="28"/>
      </w:rPr>
      <w:fldChar w:fldCharType="separate"/>
    </w:r>
    <w:r>
      <w:rPr>
        <w:rStyle w:val="7"/>
        <w:rFonts w:ascii="宋体" w:hAnsi="宋体" w:cs="宋体"/>
        <w:sz w:val="28"/>
        <w:szCs w:val="28"/>
      </w:rPr>
      <w:t>3</w:t>
    </w:r>
    <w:r>
      <w:rPr>
        <w:rStyle w:val="7"/>
        <w:rFonts w:ascii="宋体" w:hAnsi="宋体" w:cs="宋体"/>
        <w:sz w:val="28"/>
        <w:szCs w:val="28"/>
      </w:rPr>
      <w:fldChar w:fldCharType="end"/>
    </w:r>
    <w:r>
      <w:rPr>
        <w:rStyle w:val="7"/>
        <w:rFonts w:ascii="宋体" w:hAnsi="宋体" w:cs="宋体"/>
        <w:sz w:val="28"/>
        <w:szCs w:val="28"/>
      </w:rPr>
      <w:t xml:space="preserve"> —</w:t>
    </w:r>
  </w:p>
  <w:p w14:paraId="168159E3">
    <w:pPr>
      <w:pStyle w:val="2"/>
      <w:ind w:right="360" w:firstLine="360"/>
      <w:rPr>
        <w:rFonts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96A61">
    <w:pPr>
      <w:pStyle w:val="3"/>
      <w:pBdr>
        <w:bottom w:val="none" w:color="auto" w:sz="0" w:space="0"/>
      </w:pBdr>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95AC1"/>
    <w:multiLevelType w:val="singleLevel"/>
    <w:tmpl w:val="58F95AC1"/>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NotTrackMove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A1Mjg3ZmMzMGU1YzVkMTFiMGU3Mzc0MmE1Mjc1MDYifQ=="/>
  </w:docVars>
  <w:rsids>
    <w:rsidRoot w:val="00095266"/>
    <w:rsid w:val="00095266"/>
    <w:rsid w:val="00271864"/>
    <w:rsid w:val="002C58F4"/>
    <w:rsid w:val="00332EBA"/>
    <w:rsid w:val="004445B9"/>
    <w:rsid w:val="005640FC"/>
    <w:rsid w:val="005A3D4A"/>
    <w:rsid w:val="00A128C0"/>
    <w:rsid w:val="00A2166E"/>
    <w:rsid w:val="00A40D96"/>
    <w:rsid w:val="00A93153"/>
    <w:rsid w:val="00CE05D9"/>
    <w:rsid w:val="00D46109"/>
    <w:rsid w:val="0BD03E0C"/>
    <w:rsid w:val="0C9E1D9C"/>
    <w:rsid w:val="0E0A19CE"/>
    <w:rsid w:val="140E63BD"/>
    <w:rsid w:val="1BCB6344"/>
    <w:rsid w:val="290B78C3"/>
    <w:rsid w:val="39255948"/>
    <w:rsid w:val="3BF0385D"/>
    <w:rsid w:val="3F787D97"/>
    <w:rsid w:val="40CA23E8"/>
    <w:rsid w:val="510F41A2"/>
    <w:rsid w:val="54FC785B"/>
    <w:rsid w:val="5E5C5312"/>
    <w:rsid w:val="63E77104"/>
    <w:rsid w:val="70A0080D"/>
    <w:rsid w:val="77F931FC"/>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kern w:val="0"/>
      <w:sz w:val="24"/>
    </w:rPr>
  </w:style>
  <w:style w:type="character" w:styleId="7">
    <w:name w:val="page number"/>
    <w:basedOn w:val="6"/>
    <w:qFormat/>
    <w:uiPriority w:val="99"/>
  </w:style>
  <w:style w:type="character" w:customStyle="1" w:styleId="8">
    <w:name w:val="页脚 Char"/>
    <w:basedOn w:val="6"/>
    <w:link w:val="2"/>
    <w:semiHidden/>
    <w:qFormat/>
    <w:uiPriority w:val="99"/>
    <w:rPr>
      <w:rFonts w:ascii="Calibri" w:hAnsi="Calibri" w:cs="Calibri"/>
      <w:sz w:val="18"/>
      <w:szCs w:val="18"/>
    </w:rPr>
  </w:style>
  <w:style w:type="character" w:customStyle="1" w:styleId="9">
    <w:name w:val="页眉 Char"/>
    <w:basedOn w:val="6"/>
    <w:link w:val="3"/>
    <w:semiHidden/>
    <w:qFormat/>
    <w:uiPriority w:val="99"/>
    <w:rPr>
      <w:rFonts w:ascii="Calibri" w:hAnsi="Calibri" w:cs="Calibri"/>
      <w:sz w:val="18"/>
      <w:szCs w:val="18"/>
    </w:rPr>
  </w:style>
  <w:style w:type="paragraph" w:customStyle="1" w:styleId="10">
    <w:name w:val="Char Char Char Char Char Char Char"/>
    <w:basedOn w:val="1"/>
    <w:qFormat/>
    <w:uiPriority w:val="99"/>
    <w:rPr>
      <w:rFonts w:ascii="Times New Roman" w:hAnsi="Times New Roman"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6</Pages>
  <Words>2140</Words>
  <Characters>2339</Characters>
  <Lines>17</Lines>
  <Paragraphs>4</Paragraphs>
  <TotalTime>12</TotalTime>
  <ScaleCrop>false</ScaleCrop>
  <LinksUpToDate>false</LinksUpToDate>
  <CharactersWithSpaces>2343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易巧</cp:lastModifiedBy>
  <dcterms:modified xsi:type="dcterms:W3CDTF">2024-08-08T08:51:05Z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E66FBCF6A652440EB1A1CA1791B65464_12</vt:lpwstr>
  </property>
</Properties>
</file>