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ascii="宋体"/>
          <w:b/>
          <w:sz w:val="44"/>
          <w:szCs w:val="44"/>
        </w:rPr>
      </w:pPr>
      <w:r>
        <w:rPr>
          <w:rFonts w:hint="eastAsia" w:ascii="宋体" w:hAnsi="宋体"/>
          <w:b/>
          <w:sz w:val="44"/>
          <w:szCs w:val="44"/>
        </w:rPr>
        <w:t>浮山县审计局2019年度部门预算信息公开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一、基本情况(包括机构设置情况）</w:t>
      </w:r>
    </w:p>
    <w:p>
      <w:pPr>
        <w:pStyle w:val="9"/>
        <w:spacing w:line="600" w:lineRule="atLeast"/>
        <w:ind w:firstLine="640"/>
        <w:rPr>
          <w:rFonts w:ascii="仿宋_GB2312" w:eastAsia="仿宋_GB2312"/>
          <w:sz w:val="32"/>
          <w:szCs w:val="32"/>
        </w:rPr>
      </w:pPr>
      <w:r>
        <w:rPr>
          <w:rFonts w:hint="eastAsia" w:ascii="仿宋_GB2312" w:eastAsia="仿宋_GB2312"/>
          <w:sz w:val="32"/>
          <w:szCs w:val="32"/>
        </w:rPr>
        <w:t>本单位共有</w:t>
      </w:r>
      <w:r>
        <w:rPr>
          <w:rFonts w:hint="eastAsia" w:ascii="仿宋_GB2312" w:eastAsia="仿宋_GB2312"/>
          <w:b/>
          <w:bCs/>
          <w:sz w:val="32"/>
          <w:szCs w:val="32"/>
        </w:rPr>
        <w:t>编制数</w:t>
      </w:r>
      <w:r>
        <w:rPr>
          <w:rFonts w:hint="eastAsia" w:ascii="仿宋_GB2312" w:eastAsia="仿宋_GB2312"/>
          <w:sz w:val="32"/>
          <w:szCs w:val="32"/>
        </w:rPr>
        <w:t>17个，其中：行政编制8人，行政工勤编制1人，事业编制8人。</w:t>
      </w:r>
      <w:r>
        <w:rPr>
          <w:rFonts w:hint="eastAsia" w:ascii="仿宋_GB2312" w:eastAsia="仿宋_GB2312"/>
          <w:b/>
          <w:bCs/>
          <w:sz w:val="32"/>
          <w:szCs w:val="32"/>
        </w:rPr>
        <w:t>截止</w:t>
      </w:r>
      <w:r>
        <w:rPr>
          <w:rFonts w:hint="eastAsia" w:ascii="仿宋_GB2312" w:eastAsia="仿宋_GB2312"/>
          <w:sz w:val="32"/>
          <w:szCs w:val="32"/>
        </w:rPr>
        <w:t>2018年12月31日共有</w:t>
      </w:r>
      <w:r>
        <w:rPr>
          <w:rFonts w:hint="eastAsia" w:ascii="仿宋_GB2312" w:eastAsia="仿宋_GB2312"/>
          <w:b/>
          <w:bCs/>
          <w:sz w:val="32"/>
          <w:szCs w:val="32"/>
        </w:rPr>
        <w:t>在职</w:t>
      </w:r>
      <w:r>
        <w:rPr>
          <w:rFonts w:hint="eastAsia" w:ascii="仿宋_GB2312" w:eastAsia="仿宋_GB2312"/>
          <w:sz w:val="32"/>
          <w:szCs w:val="32"/>
        </w:rPr>
        <w:t>干部职工18人，其中：行政编制9人，行政工勤编制1人，事业编制8人。</w:t>
      </w:r>
      <w:r>
        <w:rPr>
          <w:rFonts w:hint="eastAsia" w:ascii="仿宋_GB2312" w:eastAsia="仿宋_GB2312"/>
          <w:b/>
          <w:bCs/>
          <w:sz w:val="32"/>
          <w:szCs w:val="32"/>
        </w:rPr>
        <w:t>（离）退休</w:t>
      </w:r>
      <w:r>
        <w:rPr>
          <w:rFonts w:hint="eastAsia" w:ascii="仿宋_GB2312" w:eastAsia="仿宋_GB2312"/>
          <w:sz w:val="32"/>
          <w:szCs w:val="32"/>
        </w:rPr>
        <w:t>干部职工14人，其中：公务员退休10人，事业退休4人。内设办公室、财金股、综合股、经济责任审计中心、社保股、投资股和法规股七个职能股（室）。</w:t>
      </w:r>
    </w:p>
    <w:p>
      <w:pPr>
        <w:numPr>
          <w:ilvl w:val="0"/>
          <w:numId w:val="1"/>
        </w:numPr>
        <w:spacing w:line="600" w:lineRule="exact"/>
        <w:ind w:firstLine="643" w:firstLineChars="200"/>
        <w:rPr>
          <w:rFonts w:ascii="仿宋_GB2312" w:eastAsia="仿宋_GB2312"/>
          <w:b/>
          <w:sz w:val="32"/>
          <w:szCs w:val="32"/>
        </w:rPr>
      </w:pPr>
      <w:r>
        <w:rPr>
          <w:rFonts w:hint="eastAsia" w:ascii="仿宋_GB2312" w:eastAsia="仿宋_GB2312"/>
          <w:b/>
          <w:sz w:val="32"/>
          <w:szCs w:val="32"/>
        </w:rPr>
        <w:t>主要职能</w:t>
      </w:r>
    </w:p>
    <w:p>
      <w:pPr>
        <w:pStyle w:val="9"/>
        <w:spacing w:line="600" w:lineRule="atLeast"/>
        <w:ind w:firstLine="640"/>
        <w:rPr>
          <w:rFonts w:ascii="仿宋_GB2312" w:eastAsia="仿宋_GB2312"/>
          <w:sz w:val="32"/>
          <w:szCs w:val="32"/>
        </w:rPr>
      </w:pPr>
      <w:r>
        <w:rPr>
          <w:rFonts w:hint="eastAsia" w:ascii="仿宋_GB2312" w:eastAsia="仿宋_GB2312"/>
          <w:sz w:val="32"/>
          <w:szCs w:val="32"/>
        </w:rPr>
        <w:t>浮山县审计局部门职责：(一)主管全县审计工作。 (二)依照有关法律法规规定，在法定职权内制定审计行政规范性文件并监督执行。 (三)向政府提交年度县级预算执行和其他财政收支情况的审计结果报告。 (四)直接审计下列事项，出具审计报告，在法定职权范围内做出审计决定或向有关部门提出处理处罚的建议。 (五) 按规定对县级以下党政领导干部及依法属于县审计局审计监督的其他单位主要负责人实施经济责任审计。(六) 组织实施对贯彻执行国家财经法律、法规、规章、政策和宏观调控措施执行情况、财政预算管理或国有资产管理使用与国家财政收支有关的特定事项进行专项审计调查。(七) 依法检查审计决定执行情况，督促纠正和处理审计发现的问题，依法办理被审计单位对审计决定提请行政复议、行政诉讼或县人民政府裁决中的有关事项。(八)指导和监督内部审计工作，核查社会审计机构对依法属于审计监督对象的单位出具的相关审计报告。(九) 承担县人民政府交办的其它事项。</w:t>
      </w: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rPr>
        <w:t>2019年度部门预算报表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一、浮山县审计局2019年预算收支总表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二、浮山县审计局2019年预算收入总表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三、浮山县审计局2019年预算支出总表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四、浮山县审计局2019年财政拨款收支总表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五、浮山县审计局2019年一般公共预算支出预算表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六、浮山县审计局2019年一般公共预算安排基本支出分经济科目表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七、浮山县审计局2019年政府性基金预算收入预算表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八、浮山县审计局2019年政府性基金预算支出预算表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九、浮山县审计局2019年“三公”经费预算财政拨款情况统计表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十、浮山县审计局2019年机关运行经费预算财政拨款情况统计表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rPr>
        <w:t>2019年度部门预算情况说明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一、2019年度部门预算数据变动情况及原因</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审计局2019年部门预算245万元，比2018年预算增加19.68万元。其中：工资福利支出比2018年增加了1.77万元，增加原因为职工工资上调。商品和服务支出比2018年增加了7.18万元，增加原因为因业务增加经费上调。对个人和家庭补助支出比2018年增加了5.72万元。项目支出2019年比2018年预算增加5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2019年一般公共预算安排的“三公”经费预算0万元，比2018年无变化 。其中：因公出国（境）费用</w:t>
      </w:r>
      <w:r>
        <w:rPr>
          <w:rFonts w:ascii="仿宋_GB2312" w:eastAsia="仿宋_GB2312"/>
          <w:sz w:val="32"/>
          <w:szCs w:val="32"/>
        </w:rPr>
        <w:t>0</w:t>
      </w:r>
      <w:r>
        <w:rPr>
          <w:rFonts w:hint="eastAsia" w:ascii="仿宋_GB2312" w:eastAsia="仿宋_GB2312"/>
          <w:sz w:val="32"/>
          <w:szCs w:val="32"/>
        </w:rPr>
        <w:t>万元，比上年无变化；公务接待费0万元，比上年无变化，公务用车运行维护费0万元，比上年无变化；公务用车购置费</w:t>
      </w:r>
      <w:r>
        <w:rPr>
          <w:rFonts w:ascii="仿宋_GB2312" w:eastAsia="仿宋_GB2312"/>
          <w:sz w:val="32"/>
          <w:szCs w:val="32"/>
        </w:rPr>
        <w:t>0</w:t>
      </w:r>
      <w:r>
        <w:rPr>
          <w:rFonts w:hint="eastAsia" w:ascii="仿宋_GB2312" w:eastAsia="仿宋_GB2312"/>
          <w:sz w:val="32"/>
          <w:szCs w:val="32"/>
        </w:rPr>
        <w:t>元，比上年无变化。</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浮山县审计局2019年运行经费财政拨款预算21.12万元，比2018年预算相比无变化。</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2019年浮山县审计局政府采购预算总额0万元。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截止到2018年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日，本单位固定资产年末数48.71万元。本单位共有车辆0辆，单位价值</w:t>
      </w:r>
      <w:r>
        <w:rPr>
          <w:rFonts w:ascii="仿宋_GB2312" w:eastAsia="仿宋_GB2312"/>
          <w:sz w:val="32"/>
          <w:szCs w:val="32"/>
        </w:rPr>
        <w:t>50</w:t>
      </w:r>
      <w:r>
        <w:rPr>
          <w:rFonts w:hint="eastAsia" w:ascii="仿宋_GB2312" w:eastAsia="仿宋_GB2312"/>
          <w:sz w:val="32"/>
          <w:szCs w:val="32"/>
        </w:rPr>
        <w:t>万元以上的通用设备0台，单位价值</w:t>
      </w:r>
      <w:r>
        <w:rPr>
          <w:rFonts w:ascii="仿宋_GB2312" w:eastAsia="仿宋_GB2312"/>
          <w:sz w:val="32"/>
          <w:szCs w:val="32"/>
        </w:rPr>
        <w:t>100</w:t>
      </w:r>
      <w:r>
        <w:rPr>
          <w:rFonts w:hint="eastAsia" w:ascii="仿宋_GB2312" w:eastAsia="仿宋_GB2312"/>
          <w:sz w:val="32"/>
          <w:szCs w:val="32"/>
        </w:rPr>
        <w:t>万元以上的专用设备0台。</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六、绩效管理情况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    2019年部门预算我单位无重点项目支出</w:t>
      </w: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773782433">
    <w:nsid w:val="A5548FA1"/>
    <w:multiLevelType w:val="singleLevel"/>
    <w:tmpl w:val="A5548FA1"/>
    <w:lvl w:ilvl="0" w:tentative="1">
      <w:start w:val="2"/>
      <w:numFmt w:val="chineseCounting"/>
      <w:suff w:val="nothing"/>
      <w:lvlText w:val="%1、"/>
      <w:lvlJc w:val="left"/>
      <w:rPr>
        <w:rFonts w:hint="eastAsia"/>
      </w:rPr>
    </w:lvl>
  </w:abstractNum>
  <w:num w:numId="1">
    <w:abstractNumId w:val="27737824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23F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DB4F3A"/>
    <w:rsid w:val="00E70831"/>
    <w:rsid w:val="00E9254E"/>
    <w:rsid w:val="00F76463"/>
    <w:rsid w:val="00FA4F16"/>
    <w:rsid w:val="088E0DB5"/>
    <w:rsid w:val="0E0A19CE"/>
    <w:rsid w:val="1BC55A9D"/>
    <w:rsid w:val="1E74212A"/>
    <w:rsid w:val="2425476E"/>
    <w:rsid w:val="3D2F7C22"/>
    <w:rsid w:val="41D41D35"/>
    <w:rsid w:val="62CF3634"/>
    <w:rsid w:val="6CFE0545"/>
    <w:rsid w:val="6D1902E7"/>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ocked="1"/>
    <w:lsdException w:uiPriority="0" w:name="footnote text" w:locked="1"/>
    <w:lsdException w:uiPriority="0" w:name="annotation text" w:locked="1"/>
    <w:lsdException w:qFormat="1" w:unhideWhenUsed="0" w:uiPriority="99" w:semiHidden="0" w:name="header"/>
    <w:lsdException w:qFormat="1" w:unhideWhenUsed="0" w:uiPriority="99" w:semiHidden="0" w:name="footer"/>
    <w:lsdException w:uiPriority="0" w:name="index heading" w:locked="1"/>
    <w:lsdException w:qFormat="1" w:uiPriority="35" w:name="caption" w:locked="1"/>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qFormat="1" w:unhideWhenUsed="0" w:uiPriority="99"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ocked="1"/>
    <w:lsdException w:uiPriority="0" w:name="Closing" w:locked="1"/>
    <w:lsdException w:uiPriority="0" w:name="Signature" w:locked="1"/>
    <w:lsdException w:uiPriority="1"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iPriority="0" w:name="Hyperlink" w:locked="1"/>
    <w:lsdException w:uiPriority="0" w:name="FollowedHyperlink" w:locked="1"/>
    <w:lsdException w:qFormat="1" w:unhideWhenUsed="0" w:uiPriority="22" w:semiHidden="0" w:name="Strong" w:locked="1"/>
    <w:lsdException w:qFormat="1" w:unhideWhenUsed="0" w:uiPriority="20" w:semiHidden="0" w:name="Emphasis" w:locked="1"/>
    <w:lsdException w:uiPriority="0" w:name="Document Map" w:locked="1"/>
    <w:lsdException w:uiPriority="0" w:name="Plain Text" w:locked="1"/>
    <w:lsdException w:uiPriority="0" w:name="E-mail Signature" w:locked="1"/>
    <w:lsdException w:uiPriority="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name="Balloon Text" w:locked="1"/>
    <w:lsdException w:unhideWhenUsed="0" w:uiPriority="59" w:semiHidden="0" w:name="Table Grid" w:locked="1"/>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10"/>
    <w:semiHidden/>
    <w:qFormat/>
    <w:locked/>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paragraph" w:customStyle="1" w:styleId="9">
    <w:name w:val="p0"/>
    <w:basedOn w:val="1"/>
    <w:uiPriority w:val="0"/>
    <w:pPr>
      <w:widowControl/>
    </w:pPr>
    <w:rPr>
      <w:rFonts w:ascii="Times New Roman" w:hAnsi="Times New Roman"/>
      <w:kern w:val="0"/>
      <w:szCs w:val="21"/>
    </w:rPr>
  </w:style>
  <w:style w:type="character" w:customStyle="1" w:styleId="10">
    <w:name w:val="批注框文本 Char"/>
    <w:basedOn w:val="5"/>
    <w:link w:val="2"/>
    <w:semiHidden/>
    <w:qFormat/>
    <w:locked/>
    <w:uiPriority w:val="99"/>
    <w:rPr>
      <w:rFonts w:cs="Times New Roman"/>
      <w:sz w:val="2"/>
    </w:rPr>
  </w:style>
  <w:style w:type="character" w:customStyle="1" w:styleId="11">
    <w:name w:val="页脚 Char"/>
    <w:basedOn w:val="5"/>
    <w:link w:val="3"/>
    <w:semiHidden/>
    <w:qFormat/>
    <w:locked/>
    <w:uiPriority w:val="99"/>
    <w:rPr>
      <w:rFonts w:cs="Times New Roman"/>
      <w:sz w:val="18"/>
      <w:szCs w:val="18"/>
    </w:rPr>
  </w:style>
  <w:style w:type="character" w:customStyle="1" w:styleId="12">
    <w:name w:val="页眉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1664</Words>
  <Characters>181</Characters>
  <Lines>1</Lines>
  <Paragraphs>3</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2019-04-01T03:44:39Z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