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header+xml" PartName="/word/head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5" Type="http://schemas.microsoft.com/office/2006/relationships/ui/userCustomization" Target="userCustomization/customUI.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line="600" w:lineRule="exact"/>
        <w:ind w:firstLine="640" w:firstLineChars="200"/>
        <w:rPr>
          <w:rFonts w:ascii="仿宋_GB2312" w:eastAsia="仿宋_GB2312"/>
          <w:sz w:val="32"/>
          <w:szCs w:val="32"/>
        </w:rPr>
      </w:pPr>
    </w:p>
    <w:p>
      <w:pPr>
        <w:spacing w:line="600" w:lineRule="exact"/>
        <w:jc w:val="center"/>
        <w:rPr>
          <w:rFonts w:ascii="宋体"/>
          <w:b/>
          <w:sz w:val="44"/>
          <w:szCs w:val="44"/>
        </w:rPr>
      </w:pPr>
      <w:r>
        <w:rPr>
          <w:rFonts w:hint="eastAsia" w:ascii="宋体" w:hAnsi="宋体"/>
          <w:b/>
          <w:sz w:val="44"/>
          <w:szCs w:val="44"/>
        </w:rPr>
        <w:t>浮山县地震局2019年度部门预算信息公开</w:t>
      </w:r>
    </w:p>
    <w:p>
      <w:pPr>
        <w:spacing w:line="600" w:lineRule="exact"/>
        <w:ind w:firstLine="640" w:firstLineChars="200"/>
        <w:rPr>
          <w:rFonts w:ascii="仿宋_GB2312" w:eastAsia="仿宋_GB2312"/>
          <w:sz w:val="32"/>
          <w:szCs w:val="32"/>
        </w:rPr>
      </w:pPr>
    </w:p>
    <w:p>
      <w:pPr>
        <w:spacing w:line="600" w:lineRule="exact"/>
        <w:jc w:val="center"/>
        <w:rPr>
          <w:rFonts w:ascii="黑体" w:eastAsia="黑体"/>
          <w:sz w:val="32"/>
          <w:szCs w:val="32"/>
        </w:rPr>
      </w:pPr>
      <w:r>
        <w:rPr>
          <w:rFonts w:hint="eastAsia" w:ascii="黑体" w:eastAsia="黑体"/>
          <w:sz w:val="32"/>
          <w:szCs w:val="32"/>
        </w:rPr>
        <w:t>第一部分</w:t>
      </w:r>
      <w:r>
        <w:rPr>
          <w:rFonts w:ascii="黑体" w:eastAsia="黑体"/>
          <w:sz w:val="32"/>
          <w:szCs w:val="32"/>
        </w:rPr>
        <w:t xml:space="preserve">  </w:t>
      </w:r>
      <w:r>
        <w:rPr>
          <w:rFonts w:hint="eastAsia" w:ascii="黑体" w:eastAsia="黑体"/>
          <w:sz w:val="32"/>
          <w:szCs w:val="32"/>
        </w:rPr>
        <w:t>概况</w:t>
      </w:r>
    </w:p>
    <w:p>
      <w:pPr>
        <w:spacing w:line="600" w:lineRule="exact"/>
        <w:ind w:firstLine="643" w:firstLineChars="200"/>
        <w:rPr>
          <w:rFonts w:ascii="仿宋_GB2312" w:eastAsia="仿宋_GB2312"/>
          <w:b/>
          <w:sz w:val="32"/>
          <w:szCs w:val="32"/>
        </w:rPr>
      </w:pPr>
      <w:r>
        <w:rPr>
          <w:rFonts w:hint="eastAsia" w:ascii="仿宋_GB2312" w:eastAsia="仿宋_GB2312"/>
          <w:b/>
          <w:sz w:val="32"/>
          <w:szCs w:val="32"/>
        </w:rPr>
        <w:t>一、基本情况(包括机构设置情况）</w:t>
      </w:r>
    </w:p>
    <w:p>
      <w:pPr>
        <w:spacing w:line="600" w:lineRule="exact"/>
        <w:ind w:firstLine="640" w:firstLineChars="200"/>
        <w:rPr>
          <w:rFonts w:hint="eastAsia" w:ascii="仿宋" w:hAnsi="仿宋" w:eastAsia="仿宋"/>
          <w:sz w:val="32"/>
          <w:szCs w:val="32"/>
        </w:rPr>
      </w:pPr>
      <w:r>
        <w:rPr>
          <w:rFonts w:hint="eastAsia" w:ascii="仿宋" w:hAnsi="仿宋" w:eastAsia="仿宋"/>
          <w:sz w:val="32"/>
          <w:szCs w:val="32"/>
        </w:rPr>
        <w:t>我单位位于尧山西路水利局后院，我局共20人，在职7人，退休13人，正科级2人,副科级1人，主任科员1人，一般人员3人。内设局长办公室、副局长办公室、党支部办公室、办公室、监测股、党员活动室。</w:t>
      </w:r>
    </w:p>
    <w:p>
      <w:pPr>
        <w:rPr>
          <w:sz w:val="28"/>
          <w:szCs w:val="28"/>
        </w:rPr>
      </w:pPr>
      <w:r>
        <w:rPr>
          <w:rFonts w:hint="eastAsia"/>
          <w:sz w:val="28"/>
          <w:szCs w:val="28"/>
        </w:rPr>
        <w:t xml:space="preserve">     </w:t>
      </w:r>
      <w:r>
        <w:rPr>
          <w:rFonts w:hint="eastAsia" w:ascii="仿宋_GB2312" w:eastAsia="仿宋_GB2312"/>
          <w:b/>
          <w:sz w:val="32"/>
          <w:szCs w:val="32"/>
        </w:rPr>
        <w:t>二、主要职能</w:t>
      </w:r>
    </w:p>
    <w:p>
      <w:pPr>
        <w:rPr>
          <w:rFonts w:hint="eastAsia" w:ascii="仿宋" w:hAnsi="仿宋" w:eastAsia="仿宋"/>
          <w:sz w:val="32"/>
          <w:szCs w:val="32"/>
        </w:rPr>
      </w:pPr>
      <w:r>
        <w:rPr>
          <w:rFonts w:hint="eastAsia"/>
          <w:sz w:val="28"/>
          <w:szCs w:val="28"/>
        </w:rPr>
        <w:t xml:space="preserve">   </w:t>
      </w:r>
      <w:r>
        <w:rPr>
          <w:rFonts w:hint="eastAsia"/>
          <w:sz w:val="32"/>
          <w:szCs w:val="32"/>
        </w:rPr>
        <w:t xml:space="preserve"> </w:t>
      </w:r>
      <w:r>
        <w:rPr>
          <w:rFonts w:hint="eastAsia" w:ascii="仿宋" w:hAnsi="仿宋" w:eastAsia="仿宋"/>
          <w:sz w:val="32"/>
          <w:szCs w:val="32"/>
        </w:rPr>
        <w:t>承担本级地震监测台网建设和运行，负责本区域内地震长、中、短期预报，组织有关部门开展防震减灾知识宣传教育，确定避难场所。</w:t>
      </w:r>
    </w:p>
    <w:p>
      <w:pPr>
        <w:spacing w:line="600" w:lineRule="exact"/>
        <w:jc w:val="center"/>
        <w:rPr>
          <w:rFonts w:ascii="黑体" w:eastAsia="黑体"/>
          <w:sz w:val="32"/>
          <w:szCs w:val="32"/>
        </w:rPr>
      </w:pPr>
      <w:r>
        <w:rPr>
          <w:rFonts w:hint="eastAsia" w:ascii="黑体" w:eastAsia="黑体"/>
          <w:sz w:val="32"/>
          <w:szCs w:val="32"/>
        </w:rPr>
        <w:t>第二部分</w:t>
      </w:r>
      <w:r>
        <w:rPr>
          <w:rFonts w:ascii="黑体" w:eastAsia="黑体"/>
          <w:sz w:val="32"/>
          <w:szCs w:val="32"/>
        </w:rPr>
        <w:t xml:space="preserve">  </w:t>
      </w:r>
      <w:r>
        <w:rPr>
          <w:rFonts w:hint="eastAsia" w:ascii="黑体" w:eastAsia="黑体"/>
          <w:sz w:val="32"/>
          <w:szCs w:val="32"/>
        </w:rPr>
        <w:t>2019年度部门预算报表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一、浮山县</w:t>
      </w:r>
      <w:r>
        <w:rPr>
          <w:rFonts w:hint="eastAsia" w:ascii="仿宋" w:hAnsi="仿宋" w:eastAsia="仿宋"/>
          <w:sz w:val="32"/>
          <w:szCs w:val="32"/>
        </w:rPr>
        <w:t>地震局</w:t>
      </w:r>
      <w:r>
        <w:rPr>
          <w:rFonts w:hint="eastAsia" w:ascii="仿宋_GB2312" w:eastAsia="仿宋_GB2312"/>
          <w:sz w:val="32"/>
          <w:szCs w:val="32"/>
        </w:rPr>
        <w:t xml:space="preserve"> 2019年预算收支总表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二、浮山县</w:t>
      </w:r>
      <w:r>
        <w:rPr>
          <w:rFonts w:hint="eastAsia" w:ascii="仿宋" w:hAnsi="仿宋" w:eastAsia="仿宋"/>
          <w:sz w:val="32"/>
          <w:szCs w:val="32"/>
        </w:rPr>
        <w:t>地震局</w:t>
      </w:r>
      <w:r>
        <w:rPr>
          <w:rFonts w:hint="eastAsia" w:ascii="仿宋_GB2312" w:eastAsia="仿宋_GB2312"/>
          <w:sz w:val="32"/>
          <w:szCs w:val="32"/>
        </w:rPr>
        <w:t>2019年预算收入总表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三、浮山县</w:t>
      </w:r>
      <w:r>
        <w:rPr>
          <w:rFonts w:hint="eastAsia" w:ascii="仿宋" w:hAnsi="仿宋" w:eastAsia="仿宋"/>
          <w:sz w:val="32"/>
          <w:szCs w:val="32"/>
        </w:rPr>
        <w:t>地震局</w:t>
      </w:r>
      <w:r>
        <w:rPr>
          <w:rFonts w:hint="eastAsia" w:ascii="仿宋_GB2312" w:eastAsia="仿宋_GB2312"/>
          <w:sz w:val="32"/>
          <w:szCs w:val="32"/>
        </w:rPr>
        <w:t>2019年预算支出总表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四、浮山县</w:t>
      </w:r>
      <w:r>
        <w:rPr>
          <w:rFonts w:hint="eastAsia" w:ascii="仿宋" w:hAnsi="仿宋" w:eastAsia="仿宋"/>
          <w:sz w:val="32"/>
          <w:szCs w:val="32"/>
        </w:rPr>
        <w:t>地震局</w:t>
      </w:r>
      <w:r>
        <w:rPr>
          <w:rFonts w:hint="eastAsia" w:ascii="仿宋_GB2312" w:eastAsia="仿宋_GB2312"/>
          <w:sz w:val="32"/>
          <w:szCs w:val="32"/>
        </w:rPr>
        <w:t>2019年财政拨款收支总表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五、浮山县</w:t>
      </w:r>
      <w:r>
        <w:rPr>
          <w:rFonts w:hint="eastAsia" w:ascii="仿宋" w:hAnsi="仿宋" w:eastAsia="仿宋"/>
          <w:sz w:val="32"/>
          <w:szCs w:val="32"/>
        </w:rPr>
        <w:t>地震局</w:t>
      </w:r>
      <w:r>
        <w:rPr>
          <w:rFonts w:hint="eastAsia" w:ascii="仿宋_GB2312" w:eastAsia="仿宋_GB2312"/>
          <w:sz w:val="32"/>
          <w:szCs w:val="32"/>
        </w:rPr>
        <w:t>2019年一般公共预算支出预算表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六、浮山县</w:t>
      </w:r>
      <w:r>
        <w:rPr>
          <w:rFonts w:hint="eastAsia" w:ascii="仿宋" w:hAnsi="仿宋" w:eastAsia="仿宋"/>
          <w:sz w:val="32"/>
          <w:szCs w:val="32"/>
        </w:rPr>
        <w:t>地震局</w:t>
      </w:r>
      <w:r>
        <w:rPr>
          <w:rFonts w:hint="eastAsia" w:ascii="仿宋_GB2312" w:eastAsia="仿宋_GB2312"/>
          <w:sz w:val="32"/>
          <w:szCs w:val="32"/>
        </w:rPr>
        <w:t>2019年一般公共预算安排基本支出分经济科目表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七、浮山县</w:t>
      </w:r>
      <w:r>
        <w:rPr>
          <w:rFonts w:hint="eastAsia" w:ascii="仿宋" w:hAnsi="仿宋" w:eastAsia="仿宋"/>
          <w:sz w:val="32"/>
          <w:szCs w:val="32"/>
        </w:rPr>
        <w:t>地震局</w:t>
      </w:r>
      <w:r>
        <w:rPr>
          <w:rFonts w:hint="eastAsia" w:ascii="仿宋_GB2312" w:eastAsia="仿宋_GB2312"/>
          <w:sz w:val="32"/>
          <w:szCs w:val="32"/>
        </w:rPr>
        <w:t>2019年政府性基金预算收入预算表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八、浮山县</w:t>
      </w:r>
      <w:r>
        <w:rPr>
          <w:rFonts w:hint="eastAsia" w:ascii="仿宋" w:hAnsi="仿宋" w:eastAsia="仿宋"/>
          <w:sz w:val="32"/>
          <w:szCs w:val="32"/>
        </w:rPr>
        <w:t>地震局</w:t>
      </w:r>
      <w:r>
        <w:rPr>
          <w:rFonts w:hint="eastAsia" w:ascii="仿宋_GB2312" w:eastAsia="仿宋_GB2312"/>
          <w:sz w:val="32"/>
          <w:szCs w:val="32"/>
        </w:rPr>
        <w:t>2019年政府性基金预算支出预算表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九、浮山县</w:t>
      </w:r>
      <w:r>
        <w:rPr>
          <w:rFonts w:hint="eastAsia" w:ascii="仿宋" w:hAnsi="仿宋" w:eastAsia="仿宋"/>
          <w:sz w:val="32"/>
          <w:szCs w:val="32"/>
        </w:rPr>
        <w:t>地震局</w:t>
      </w:r>
      <w:r>
        <w:rPr>
          <w:rFonts w:hint="eastAsia" w:ascii="仿宋_GB2312" w:eastAsia="仿宋_GB2312"/>
          <w:sz w:val="32"/>
          <w:szCs w:val="32"/>
        </w:rPr>
        <w:t>2019年“三公”经费预算财政拨款情况统计表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十、浮山县</w:t>
      </w:r>
      <w:r>
        <w:rPr>
          <w:rFonts w:hint="eastAsia" w:ascii="仿宋" w:hAnsi="仿宋" w:eastAsia="仿宋"/>
          <w:sz w:val="32"/>
          <w:szCs w:val="32"/>
        </w:rPr>
        <w:t>地震局</w:t>
      </w:r>
      <w:r>
        <w:rPr>
          <w:rFonts w:hint="eastAsia" w:ascii="仿宋_GB2312" w:eastAsia="仿宋_GB2312"/>
          <w:sz w:val="32"/>
          <w:szCs w:val="32"/>
        </w:rPr>
        <w:t>2019年机关运行经费预算财政拨款情况统计表</w:t>
      </w:r>
    </w:p>
    <w:p>
      <w:pPr>
        <w:spacing w:line="600" w:lineRule="exact"/>
        <w:jc w:val="center"/>
        <w:rPr>
          <w:rFonts w:ascii="黑体" w:eastAsia="黑体"/>
          <w:sz w:val="32"/>
          <w:szCs w:val="32"/>
        </w:rPr>
      </w:pPr>
      <w:r>
        <w:rPr>
          <w:rFonts w:hint="eastAsia" w:ascii="黑体" w:eastAsia="黑体"/>
          <w:sz w:val="32"/>
          <w:szCs w:val="32"/>
        </w:rPr>
        <w:t>第三部分</w:t>
      </w:r>
      <w:r>
        <w:rPr>
          <w:rFonts w:ascii="黑体" w:eastAsia="黑体"/>
          <w:sz w:val="32"/>
          <w:szCs w:val="32"/>
        </w:rPr>
        <w:t xml:space="preserve">  </w:t>
      </w:r>
      <w:r>
        <w:rPr>
          <w:rFonts w:hint="eastAsia" w:ascii="黑体" w:eastAsia="黑体"/>
          <w:sz w:val="32"/>
          <w:szCs w:val="32"/>
        </w:rPr>
        <w:t>2019年度部门预算情况说明</w:t>
      </w:r>
    </w:p>
    <w:p>
      <w:pPr>
        <w:spacing w:line="600" w:lineRule="exact"/>
        <w:ind w:firstLine="643" w:firstLineChars="200"/>
        <w:rPr>
          <w:rFonts w:ascii="仿宋_GB2312" w:eastAsia="仿宋_GB2312"/>
          <w:b/>
          <w:sz w:val="32"/>
          <w:szCs w:val="32"/>
        </w:rPr>
      </w:pPr>
      <w:r>
        <w:rPr>
          <w:rFonts w:hint="eastAsia" w:ascii="仿宋_GB2312" w:eastAsia="仿宋_GB2312"/>
          <w:b/>
          <w:sz w:val="32"/>
          <w:szCs w:val="32"/>
        </w:rPr>
        <w:t>一、2019年度部门预算数据变动情况及原因</w:t>
      </w:r>
    </w:p>
    <w:p>
      <w:pPr>
        <w:spacing w:line="600" w:lineRule="exact"/>
        <w:ind w:left="638" w:leftChars="304" w:firstLine="640" w:firstLineChars="200"/>
        <w:rPr>
          <w:rFonts w:ascii="仿宋_GB2312" w:eastAsia="仿宋_GB2312"/>
          <w:sz w:val="32"/>
          <w:szCs w:val="32"/>
        </w:rPr>
      </w:pPr>
      <w:r>
        <w:rPr>
          <w:rFonts w:hint="eastAsia" w:ascii="仿宋_GB2312" w:eastAsia="仿宋_GB2312"/>
          <w:sz w:val="32"/>
          <w:szCs w:val="32"/>
        </w:rPr>
        <w:t>浮山县</w:t>
      </w:r>
      <w:r>
        <w:rPr>
          <w:rFonts w:hint="eastAsia" w:ascii="仿宋" w:hAnsi="仿宋" w:eastAsia="仿宋"/>
          <w:sz w:val="32"/>
          <w:szCs w:val="32"/>
        </w:rPr>
        <w:t>地震局</w:t>
      </w:r>
      <w:r>
        <w:rPr>
          <w:rFonts w:hint="eastAsia" w:ascii="仿宋_GB2312" w:eastAsia="仿宋_GB2312"/>
          <w:sz w:val="32"/>
          <w:szCs w:val="32"/>
        </w:rPr>
        <w:t>2019年部门预算107.93万元，比2018年预算增加11.5万元。其中：工资福利支出82.96万元，比2018年增加了6.62万元，增加原因为人员工资增资。商品和服务支出19.97万元，比2018年增加了0.24万元，增加原因为其他交通费用的增加。对个人和家庭补助支出5万元，比2018年增加了4.64万元，增加原因为增加了退休人员的全暖费。项目支出0万元2019年比2018年预算（无变化。</w:t>
      </w:r>
    </w:p>
    <w:p>
      <w:pPr>
        <w:spacing w:line="600" w:lineRule="exact"/>
        <w:ind w:firstLine="643" w:firstLineChars="200"/>
        <w:rPr>
          <w:rFonts w:ascii="仿宋_GB2312" w:eastAsia="仿宋_GB2312"/>
          <w:b/>
          <w:sz w:val="32"/>
          <w:szCs w:val="32"/>
        </w:rPr>
      </w:pPr>
      <w:r>
        <w:rPr>
          <w:rFonts w:hint="eastAsia" w:ascii="仿宋_GB2312" w:eastAsia="仿宋_GB2312"/>
          <w:b/>
          <w:sz w:val="32"/>
          <w:szCs w:val="32"/>
        </w:rPr>
        <w:t>二、“三公”经费增减变动原因说明</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2019年一般公共预算安排的“三公”经费预算1.9万元，比2018年减少0.02万元。其中：因公出国（境）费用</w:t>
      </w:r>
      <w:r>
        <w:rPr>
          <w:rFonts w:ascii="仿宋_GB2312" w:eastAsia="仿宋_GB2312"/>
          <w:sz w:val="32"/>
          <w:szCs w:val="32"/>
        </w:rPr>
        <w:t>0</w:t>
      </w:r>
      <w:r>
        <w:rPr>
          <w:rFonts w:hint="eastAsia" w:ascii="仿宋_GB2312" w:eastAsia="仿宋_GB2312"/>
          <w:sz w:val="32"/>
          <w:szCs w:val="32"/>
        </w:rPr>
        <w:t>万元，比上年无变化；公务接待费0万元，比上年无变化，公务用车运行维护费 1.9万元，比上年减少0.02万元</w:t>
      </w:r>
      <w:r>
        <w:rPr>
          <w:rFonts w:hint="eastAsia" w:ascii="仿宋_GB2312" w:eastAsia="仿宋_GB2312"/>
          <w:sz w:val="32"/>
          <w:szCs w:val="32"/>
          <w:lang w:eastAsia="zh-CN"/>
        </w:rPr>
        <w:t>，</w:t>
      </w:r>
      <w:r>
        <w:rPr>
          <w:rFonts w:hint="eastAsia" w:ascii="仿宋_GB2312" w:eastAsia="仿宋_GB2312"/>
          <w:sz w:val="32"/>
          <w:szCs w:val="32"/>
          <w:lang w:val="en-US" w:eastAsia="zh-CN"/>
        </w:rPr>
        <w:t>车辆维修费减少</w:t>
      </w:r>
      <w:r>
        <w:rPr>
          <w:rFonts w:hint="eastAsia" w:ascii="仿宋_GB2312" w:eastAsia="仿宋_GB2312"/>
          <w:sz w:val="32"/>
          <w:szCs w:val="32"/>
        </w:rPr>
        <w:t>；公务用车购置费</w:t>
      </w:r>
      <w:r>
        <w:rPr>
          <w:rFonts w:ascii="仿宋_GB2312" w:eastAsia="仿宋_GB2312"/>
          <w:sz w:val="32"/>
          <w:szCs w:val="32"/>
        </w:rPr>
        <w:t>0</w:t>
      </w:r>
      <w:r>
        <w:rPr>
          <w:rFonts w:hint="eastAsia" w:ascii="仿宋_GB2312" w:eastAsia="仿宋_GB2312"/>
          <w:sz w:val="32"/>
          <w:szCs w:val="32"/>
        </w:rPr>
        <w:t>元，比上年无变化。</w:t>
      </w:r>
    </w:p>
    <w:p>
      <w:pPr>
        <w:spacing w:line="600" w:lineRule="exact"/>
        <w:ind w:firstLine="643" w:firstLineChars="200"/>
        <w:rPr>
          <w:rFonts w:ascii="仿宋_GB2312" w:eastAsia="仿宋_GB2312"/>
          <w:b/>
          <w:sz w:val="32"/>
          <w:szCs w:val="32"/>
        </w:rPr>
      </w:pPr>
      <w:r>
        <w:rPr>
          <w:rFonts w:hint="eastAsia" w:ascii="仿宋_GB2312" w:eastAsia="仿宋_GB2312"/>
          <w:b/>
          <w:sz w:val="32"/>
          <w:szCs w:val="32"/>
        </w:rPr>
        <w:t>三、机关运行经费增减变动原因说明</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浮山县</w:t>
      </w:r>
      <w:r>
        <w:rPr>
          <w:rFonts w:hint="eastAsia" w:ascii="仿宋" w:hAnsi="仿宋" w:eastAsia="仿宋"/>
          <w:sz w:val="32"/>
          <w:szCs w:val="32"/>
        </w:rPr>
        <w:t>地震局</w:t>
      </w:r>
      <w:r>
        <w:rPr>
          <w:rFonts w:hint="eastAsia" w:ascii="仿宋_GB2312" w:eastAsia="仿宋_GB2312"/>
          <w:sz w:val="32"/>
          <w:szCs w:val="32"/>
        </w:rPr>
        <w:t>2019年运行经费财政拨款预算19.97万元，比2018年预算增加0.24万元，增</w:t>
      </w:r>
      <w:r>
        <w:rPr>
          <w:rFonts w:hint="eastAsia" w:ascii="仿宋_GB2312" w:eastAsia="仿宋_GB2312"/>
          <w:sz w:val="32"/>
          <w:szCs w:val="32"/>
          <w:lang w:eastAsia="zh-CN"/>
        </w:rPr>
        <w:t>长</w:t>
      </w:r>
      <w:r>
        <w:rPr>
          <w:rFonts w:hint="eastAsia" w:ascii="仿宋_GB2312" w:eastAsia="仿宋_GB2312"/>
          <w:sz w:val="32"/>
          <w:szCs w:val="32"/>
        </w:rPr>
        <w:t xml:space="preserve">1.2 </w:t>
      </w:r>
      <w:r>
        <w:rPr>
          <w:rFonts w:ascii="仿宋_GB2312" w:eastAsia="仿宋_GB2312"/>
          <w:sz w:val="32"/>
          <w:szCs w:val="32"/>
        </w:rPr>
        <w:t>%,</w:t>
      </w:r>
      <w:r>
        <w:rPr>
          <w:rFonts w:hint="eastAsia" w:ascii="仿宋_GB2312" w:eastAsia="仿宋_GB2312"/>
          <w:sz w:val="32"/>
          <w:szCs w:val="32"/>
        </w:rPr>
        <w:t>原因是其他交通费用增加 。</w:t>
      </w:r>
    </w:p>
    <w:p>
      <w:pPr>
        <w:spacing w:line="600" w:lineRule="exact"/>
        <w:ind w:firstLine="643" w:firstLineChars="200"/>
        <w:rPr>
          <w:rFonts w:ascii="仿宋_GB2312" w:eastAsia="仿宋_GB2312"/>
          <w:b/>
          <w:sz w:val="32"/>
          <w:szCs w:val="32"/>
        </w:rPr>
      </w:pPr>
      <w:r>
        <w:rPr>
          <w:rFonts w:hint="eastAsia" w:ascii="仿宋_GB2312" w:eastAsia="仿宋_GB2312"/>
          <w:b/>
          <w:sz w:val="32"/>
          <w:szCs w:val="32"/>
        </w:rPr>
        <w:t>四、政府采购情况</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2019年浮山县</w:t>
      </w:r>
      <w:r>
        <w:rPr>
          <w:rFonts w:hint="eastAsia" w:ascii="仿宋" w:hAnsi="仿宋" w:eastAsia="仿宋"/>
          <w:sz w:val="32"/>
          <w:szCs w:val="32"/>
        </w:rPr>
        <w:t>地震局</w:t>
      </w:r>
      <w:r>
        <w:rPr>
          <w:rFonts w:hint="eastAsia" w:ascii="仿宋_GB2312" w:eastAsia="仿宋_GB2312"/>
          <w:sz w:val="32"/>
          <w:szCs w:val="32"/>
        </w:rPr>
        <w:t>政府采购预算总额 4万元，其中：政府采购货物预算2万元、政府采购工程预算0万元、政府采购服务预算 2万元。</w:t>
      </w:r>
    </w:p>
    <w:p>
      <w:pPr>
        <w:spacing w:line="600" w:lineRule="exact"/>
        <w:ind w:firstLine="643" w:firstLineChars="200"/>
        <w:rPr>
          <w:rFonts w:ascii="仿宋_GB2312" w:eastAsia="仿宋_GB2312"/>
          <w:b/>
          <w:sz w:val="32"/>
          <w:szCs w:val="32"/>
        </w:rPr>
      </w:pPr>
      <w:r>
        <w:rPr>
          <w:rFonts w:hint="eastAsia" w:ascii="仿宋_GB2312" w:eastAsia="仿宋_GB2312"/>
          <w:b/>
          <w:sz w:val="32"/>
          <w:szCs w:val="32"/>
        </w:rPr>
        <w:t>五、关于国有资产占用情况说明</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截止到2018年</w:t>
      </w:r>
      <w:r>
        <w:rPr>
          <w:rFonts w:ascii="仿宋_GB2312" w:eastAsia="仿宋_GB2312"/>
          <w:sz w:val="32"/>
          <w:szCs w:val="32"/>
        </w:rPr>
        <w:t>12</w:t>
      </w:r>
      <w:r>
        <w:rPr>
          <w:rFonts w:hint="eastAsia" w:ascii="仿宋_GB2312" w:eastAsia="仿宋_GB2312"/>
          <w:sz w:val="32"/>
          <w:szCs w:val="32"/>
        </w:rPr>
        <w:t>月</w:t>
      </w:r>
      <w:r>
        <w:rPr>
          <w:rFonts w:ascii="仿宋_GB2312" w:eastAsia="仿宋_GB2312"/>
          <w:sz w:val="32"/>
          <w:szCs w:val="32"/>
        </w:rPr>
        <w:t>31</w:t>
      </w:r>
      <w:r>
        <w:rPr>
          <w:rFonts w:hint="eastAsia" w:ascii="仿宋_GB2312" w:eastAsia="仿宋_GB2312"/>
          <w:sz w:val="32"/>
          <w:szCs w:val="32"/>
        </w:rPr>
        <w:t>日，本单位固定资产年末数87.58    万元。本单位共有车辆1 辆，其中：应急车1辆。单位价值</w:t>
      </w:r>
      <w:r>
        <w:rPr>
          <w:rFonts w:ascii="仿宋_GB2312" w:eastAsia="仿宋_GB2312"/>
          <w:sz w:val="32"/>
          <w:szCs w:val="32"/>
        </w:rPr>
        <w:t>50</w:t>
      </w:r>
      <w:r>
        <w:rPr>
          <w:rFonts w:hint="eastAsia" w:ascii="仿宋_GB2312" w:eastAsia="仿宋_GB2312"/>
          <w:sz w:val="32"/>
          <w:szCs w:val="32"/>
        </w:rPr>
        <w:t>万元以上的通用设备0台，单位价值</w:t>
      </w:r>
      <w:r>
        <w:rPr>
          <w:rFonts w:ascii="仿宋_GB2312" w:eastAsia="仿宋_GB2312"/>
          <w:sz w:val="32"/>
          <w:szCs w:val="32"/>
        </w:rPr>
        <w:t>100</w:t>
      </w:r>
      <w:r>
        <w:rPr>
          <w:rFonts w:hint="eastAsia" w:ascii="仿宋_GB2312" w:eastAsia="仿宋_GB2312"/>
          <w:sz w:val="32"/>
          <w:szCs w:val="32"/>
        </w:rPr>
        <w:t>万元以上的专用设备   0台。</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六、绩效管理情况</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 xml:space="preserve">    2019年部门预算我单位无重点项目支出</w:t>
      </w:r>
    </w:p>
    <w:p>
      <w:pPr>
        <w:spacing w:line="600" w:lineRule="exact"/>
        <w:ind w:firstLine="640" w:firstLineChars="200"/>
        <w:rPr>
          <w:rFonts w:ascii="仿宋_GB2312" w:eastAsia="仿宋_GB2312"/>
          <w:sz w:val="32"/>
          <w:szCs w:val="32"/>
        </w:rPr>
      </w:pPr>
    </w:p>
    <w:p>
      <w:pPr>
        <w:spacing w:line="600" w:lineRule="exact"/>
        <w:ind w:firstLine="640" w:firstLineChars="200"/>
        <w:rPr>
          <w:rFonts w:ascii="仿宋_GB2312" w:eastAsia="仿宋_GB2312"/>
          <w:sz w:val="32"/>
          <w:szCs w:val="32"/>
        </w:rPr>
      </w:pPr>
    </w:p>
    <w:p>
      <w:pPr>
        <w:spacing w:line="600" w:lineRule="exact"/>
        <w:jc w:val="center"/>
        <w:rPr>
          <w:rFonts w:ascii="黑体" w:eastAsia="黑体"/>
          <w:sz w:val="32"/>
          <w:szCs w:val="32"/>
        </w:rPr>
      </w:pPr>
      <w:r>
        <w:rPr>
          <w:rFonts w:hint="eastAsia" w:ascii="黑体" w:eastAsia="黑体"/>
          <w:sz w:val="32"/>
          <w:szCs w:val="32"/>
        </w:rPr>
        <w:t>第四部分</w:t>
      </w:r>
      <w:r>
        <w:rPr>
          <w:rFonts w:ascii="黑体" w:eastAsia="黑体"/>
          <w:sz w:val="32"/>
          <w:szCs w:val="32"/>
        </w:rPr>
        <w:t xml:space="preserve">  </w:t>
      </w:r>
      <w:r>
        <w:rPr>
          <w:rFonts w:hint="eastAsia" w:ascii="黑体" w:eastAsia="黑体"/>
          <w:sz w:val="32"/>
          <w:szCs w:val="32"/>
        </w:rPr>
        <w:t>名词解释</w:t>
      </w:r>
    </w:p>
    <w:p>
      <w:pPr>
        <w:spacing w:line="600" w:lineRule="exact"/>
        <w:ind w:firstLine="643" w:firstLineChars="200"/>
        <w:rPr>
          <w:rFonts w:ascii="仿宋_GB2312" w:eastAsia="仿宋_GB2312"/>
          <w:sz w:val="32"/>
          <w:szCs w:val="32"/>
        </w:rPr>
      </w:pPr>
      <w:r>
        <w:rPr>
          <w:rFonts w:hint="eastAsia" w:ascii="仿宋_GB2312" w:eastAsia="仿宋_GB2312"/>
          <w:b/>
          <w:sz w:val="32"/>
          <w:szCs w:val="32"/>
        </w:rPr>
        <w:t>（一）基本支出：</w:t>
      </w:r>
      <w:r>
        <w:rPr>
          <w:rFonts w:hint="eastAsia" w:ascii="仿宋_GB2312" w:eastAsia="仿宋_GB2312"/>
          <w:sz w:val="32"/>
          <w:szCs w:val="32"/>
        </w:rPr>
        <w:t>指为保障机构正常运转、完成日常</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工作任务而发生的人员支出和公用支出。</w:t>
      </w:r>
    </w:p>
    <w:p>
      <w:pPr>
        <w:spacing w:line="600" w:lineRule="exact"/>
        <w:ind w:firstLine="643" w:firstLineChars="200"/>
        <w:rPr>
          <w:rFonts w:ascii="仿宋_GB2312" w:eastAsia="仿宋_GB2312"/>
          <w:sz w:val="32"/>
          <w:szCs w:val="32"/>
        </w:rPr>
      </w:pPr>
      <w:r>
        <w:rPr>
          <w:rFonts w:hint="eastAsia" w:ascii="仿宋_GB2312" w:eastAsia="仿宋_GB2312"/>
          <w:b/>
          <w:sz w:val="32"/>
          <w:szCs w:val="32"/>
        </w:rPr>
        <w:t>（二）项目支出：</w:t>
      </w:r>
      <w:r>
        <w:rPr>
          <w:rFonts w:hint="eastAsia" w:ascii="仿宋_GB2312" w:eastAsia="仿宋_GB2312"/>
          <w:sz w:val="32"/>
          <w:szCs w:val="32"/>
        </w:rPr>
        <w:t>指在基本支出之外为完成特定行政任</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务和事业发展目标所发生的支出。</w:t>
      </w:r>
    </w:p>
    <w:p>
      <w:pPr>
        <w:spacing w:line="600" w:lineRule="exact"/>
        <w:ind w:firstLine="643" w:firstLineChars="200"/>
        <w:rPr>
          <w:rFonts w:ascii="仿宋_GB2312" w:eastAsia="仿宋_GB2312"/>
          <w:sz w:val="32"/>
          <w:szCs w:val="32"/>
        </w:rPr>
      </w:pPr>
      <w:r>
        <w:rPr>
          <w:rFonts w:hint="eastAsia" w:ascii="仿宋_GB2312" w:eastAsia="仿宋_GB2312"/>
          <w:b/>
          <w:sz w:val="32"/>
          <w:szCs w:val="32"/>
        </w:rPr>
        <w:t>（三）“三公”经费：</w:t>
      </w:r>
      <w:r>
        <w:rPr>
          <w:rFonts w:hint="eastAsia" w:ascii="仿宋_GB2312" w:eastAsia="仿宋_GB2312"/>
          <w:sz w:val="32"/>
          <w:szCs w:val="32"/>
        </w:rPr>
        <w:t>指省直部门用一般公共预算安排的因公出国（境）费、公务用车购置及运行费和公务接待费。其中，因公出国（境）费反映单位公务出国（境）的国际旅费、国外城市间交通费、住宿费、伙食费、培训费、公杂费等支出；公务用车购置费反映公务用车车辆购置支出（含车辆购置税）；公务用车运行维护费反映单位按规定保留的公务用车燃料费、维修费、过路过桥费、保险费、安全奖励费用等支出；公务接待费反映单位按规定开支的各类公务接待（含外宾接待）支出。</w:t>
      </w:r>
    </w:p>
    <w:p>
      <w:pPr>
        <w:spacing w:line="600" w:lineRule="exact"/>
        <w:ind w:firstLine="643" w:firstLineChars="200"/>
        <w:rPr>
          <w:rFonts w:ascii="仿宋_GB2312" w:eastAsia="仿宋_GB2312"/>
          <w:sz w:val="32"/>
          <w:szCs w:val="32"/>
        </w:rPr>
      </w:pPr>
      <w:r>
        <w:rPr>
          <w:rFonts w:hint="eastAsia" w:ascii="仿宋_GB2312" w:eastAsia="仿宋_GB2312"/>
          <w:b/>
          <w:sz w:val="32"/>
          <w:szCs w:val="32"/>
        </w:rPr>
        <w:t>（四）机关运行经费：</w:t>
      </w:r>
      <w:r>
        <w:rPr>
          <w:rFonts w:hint="eastAsia" w:ascii="仿宋_GB2312" w:eastAsia="仿宋_GB2312"/>
          <w:sz w:val="32"/>
          <w:szCs w:val="32"/>
        </w:rPr>
        <w:t>指行政单位和参照公务员法管理的事业单位使用一般公共预算安排的基本支出中的日常公用经费支出。</w:t>
      </w:r>
    </w:p>
    <w:p>
      <w:pPr>
        <w:spacing w:line="600" w:lineRule="exact"/>
        <w:ind w:firstLine="640" w:firstLineChars="200"/>
        <w:rPr>
          <w:rFonts w:ascii="仿宋_GB2312" w:eastAsia="仿宋_GB2312"/>
          <w:sz w:val="32"/>
          <w:szCs w:val="32"/>
        </w:rPr>
      </w:pPr>
    </w:p>
    <w:p>
      <w:pPr>
        <w:spacing w:line="600" w:lineRule="exact"/>
        <w:ind w:firstLine="640" w:firstLineChars="200"/>
        <w:rPr>
          <w:rFonts w:ascii="仿宋_GB2312" w:eastAsia="仿宋_GB2312"/>
          <w:sz w:val="32"/>
          <w:szCs w:val="32"/>
        </w:rPr>
      </w:pPr>
    </w:p>
    <w:p>
      <w:pPr>
        <w:spacing w:line="600" w:lineRule="exact"/>
        <w:ind w:firstLine="640" w:firstLineChars="200"/>
        <w:rPr>
          <w:rFonts w:ascii="仿宋_GB2312" w:eastAsia="仿宋_GB2312"/>
          <w:sz w:val="32"/>
          <w:szCs w:val="32"/>
        </w:rPr>
      </w:pPr>
    </w:p>
    <w:p>
      <w:pPr>
        <w:spacing w:line="600" w:lineRule="exact"/>
        <w:ind w:firstLine="640" w:firstLineChars="200"/>
        <w:rPr>
          <w:rFonts w:ascii="仿宋_GB2312" w:eastAsia="仿宋_GB2312"/>
          <w:sz w:val="32"/>
          <w:szCs w:val="32"/>
        </w:rPr>
      </w:pPr>
      <w:bookmarkStart w:id="0" w:name="_GoBack"/>
      <w:bookmarkEnd w:id="0"/>
    </w:p>
    <w:sectPr>
      <w:headerReference r:id="rId4" w:type="default"/>
      <w:footerReference r:id="rId5" w:type="even"/>
      <w:pgSz w:w="11906" w:h="16838"/>
      <w:pgMar w:top="2098" w:right="1474" w:bottom="1985" w:left="1474" w:header="851" w:footer="1588" w:gutter="113"/>
      <w:cols w:space="720" w:num="1"/>
      <w:docGrid w:linePitch="579" w:charSpace="-183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auto"/>
    <w:pitch w:val="default"/>
    <w:sig w:usb0="E0002A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3"/>
      <w:framePr w:w="2000" w:h="790" w:hRule="exact" w:wrap="around" w:vAnchor="text" w:hAnchor="page" w:x="1370" w:y="-189"/>
      <w:ind w:firstLine="280" w:firstLineChars="100"/>
      <w:rPr>
        <w:rStyle w:val="6"/>
        <w:rFonts w:ascii="宋体"/>
        <w:sz w:val="28"/>
        <w:szCs w:val="28"/>
      </w:rPr>
    </w:pPr>
    <w:r>
      <w:rPr>
        <w:rStyle w:val="6"/>
        <w:rFonts w:ascii="宋体" w:hAnsi="宋体"/>
        <w:sz w:val="28"/>
        <w:szCs w:val="28"/>
      </w:rPr>
      <w:t xml:space="preserve">— </w:t>
    </w:r>
    <w:r>
      <w:rPr>
        <w:rStyle w:val="6"/>
        <w:rFonts w:ascii="宋体" w:hAnsi="宋体"/>
        <w:sz w:val="28"/>
        <w:szCs w:val="28"/>
      </w:rPr>
      <w:fldChar w:fldCharType="begin"/>
    </w:r>
    <w:r>
      <w:rPr>
        <w:rStyle w:val="6"/>
        <w:rFonts w:ascii="宋体" w:hAnsi="宋体"/>
        <w:sz w:val="28"/>
        <w:szCs w:val="28"/>
      </w:rPr>
      <w:instrText xml:space="preserve">PAGE  </w:instrText>
    </w:r>
    <w:r>
      <w:rPr>
        <w:rStyle w:val="6"/>
        <w:rFonts w:ascii="宋体" w:hAnsi="宋体"/>
        <w:sz w:val="28"/>
        <w:szCs w:val="28"/>
      </w:rPr>
      <w:fldChar w:fldCharType="separate"/>
    </w:r>
    <w:r>
      <w:rPr>
        <w:rStyle w:val="6"/>
        <w:rFonts w:ascii="宋体" w:hAnsi="宋体"/>
        <w:sz w:val="28"/>
        <w:szCs w:val="28"/>
      </w:rPr>
      <w:t>18</w:t>
    </w:r>
    <w:r>
      <w:rPr>
        <w:rStyle w:val="6"/>
        <w:rFonts w:ascii="宋体" w:hAnsi="宋体"/>
        <w:sz w:val="28"/>
        <w:szCs w:val="28"/>
      </w:rPr>
      <w:fldChar w:fldCharType="end"/>
    </w:r>
    <w:r>
      <w:rPr>
        <w:rStyle w:val="6"/>
        <w:rFonts w:ascii="宋体" w:hAnsi="宋体"/>
        <w:sz w:val="28"/>
        <w:szCs w:val="28"/>
      </w:rPr>
      <w:t xml:space="preserve"> —</w:t>
    </w:r>
  </w:p>
  <w:p>
    <w:pPr>
      <w:pStyle w:val="3"/>
      <w:ind w:right="360" w:firstLine="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4"/>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splitPgBreakAndParaMark/>
    <w:doNotExpandShiftReturn/>
    <w:adjustLineHeightInTable/>
    <w:useFELayout/>
    <w:doNotUseIndentAsNumberingTabStop/>
    <w:useNormalStyleForList/>
    <w:useAltKinsokuLineBreakRules/>
    <w:allowSpaceOfSameStyleInTable/>
    <w:doNotSuppressIndentation/>
    <w:doNotAutofitConstrainedTables/>
    <w:autofitToFirstFixedWidthCell/>
    <w:displayHangulFixedWidth/>
    <w:doNotVertAlignCellWithSp/>
    <w:doNotBreakConstrainedForcedTable/>
    <w:doNotVertAlignInTxbx/>
    <w:useAnsiKerningPairs/>
    <w:cachedColBalance/>
  </w:compat>
  <w:rsids>
    <w:rsidRoot w:val="009A5464"/>
    <w:rsid w:val="000079E0"/>
    <w:rsid w:val="000A3658"/>
    <w:rsid w:val="00120BF5"/>
    <w:rsid w:val="001423F1"/>
    <w:rsid w:val="001E360E"/>
    <w:rsid w:val="00211784"/>
    <w:rsid w:val="00246095"/>
    <w:rsid w:val="002650F6"/>
    <w:rsid w:val="002D7777"/>
    <w:rsid w:val="00393481"/>
    <w:rsid w:val="0040257E"/>
    <w:rsid w:val="0041006A"/>
    <w:rsid w:val="00590BEF"/>
    <w:rsid w:val="005914FF"/>
    <w:rsid w:val="00593F23"/>
    <w:rsid w:val="005E63F3"/>
    <w:rsid w:val="005E6F9D"/>
    <w:rsid w:val="005E71C2"/>
    <w:rsid w:val="006726F2"/>
    <w:rsid w:val="006943D6"/>
    <w:rsid w:val="007636CB"/>
    <w:rsid w:val="00795B78"/>
    <w:rsid w:val="00806213"/>
    <w:rsid w:val="0082011A"/>
    <w:rsid w:val="0091609A"/>
    <w:rsid w:val="00944474"/>
    <w:rsid w:val="00975919"/>
    <w:rsid w:val="009840B4"/>
    <w:rsid w:val="00987CA2"/>
    <w:rsid w:val="009921FF"/>
    <w:rsid w:val="009A5464"/>
    <w:rsid w:val="00A00EF5"/>
    <w:rsid w:val="00A31A4C"/>
    <w:rsid w:val="00A3461D"/>
    <w:rsid w:val="00A650D7"/>
    <w:rsid w:val="00AA56C1"/>
    <w:rsid w:val="00BF0F06"/>
    <w:rsid w:val="00C70C63"/>
    <w:rsid w:val="00D40A95"/>
    <w:rsid w:val="00DA082B"/>
    <w:rsid w:val="00E70831"/>
    <w:rsid w:val="00E86957"/>
    <w:rsid w:val="00E9254E"/>
    <w:rsid w:val="00F07C09"/>
    <w:rsid w:val="00F76463"/>
    <w:rsid w:val="00FA4F16"/>
    <w:rsid w:val="088E0DB5"/>
    <w:rsid w:val="08D42D45"/>
    <w:rsid w:val="0E0A19CE"/>
    <w:rsid w:val="2425476E"/>
    <w:rsid w:val="33A1420F"/>
    <w:rsid w:val="3CDD6A54"/>
    <w:rsid w:val="3D2F7C22"/>
    <w:rsid w:val="426526A1"/>
    <w:rsid w:val="45A104B7"/>
    <w:rsid w:val="62CF3634"/>
    <w:rsid w:val="659506B8"/>
    <w:rsid w:val="6CFE0545"/>
  </w:rsids>
  <w:doNotAutoCompressPictures/>
  <w:uiCompat97To2003/>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Calibri"/>
        <w:lang w:val="en-US" w:eastAsia="zh-CN" w:bidi="ar-SA"/>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ocked="1"/>
    <w:lsdException w:qFormat="1" w:uiPriority="9" w:name="heading 2" w:locked="1"/>
    <w:lsdException w:qFormat="1" w:uiPriority="9" w:name="heading 3" w:locked="1"/>
    <w:lsdException w:qFormat="1" w:uiPriority="9" w:name="heading 4" w:locked="1"/>
    <w:lsdException w:qFormat="1" w:uiPriority="9" w:name="heading 5" w:locked="1"/>
    <w:lsdException w:qFormat="1" w:uiPriority="9" w:name="heading 6" w:locked="1"/>
    <w:lsdException w:qFormat="1" w:uiPriority="9" w:name="heading 7" w:locked="1"/>
    <w:lsdException w:qFormat="1" w:uiPriority="9" w:name="heading 8" w:locked="1"/>
    <w:lsdException w:qFormat="1" w:uiPriority="9" w:name="heading 9" w:locked="1"/>
    <w:lsdException w:uiPriority="0" w:name="index 1" w:locked="1"/>
    <w:lsdException w:uiPriority="0" w:name="index 2" w:locked="1"/>
    <w:lsdException w:uiPriority="0" w:name="index 3" w:locked="1"/>
    <w:lsdException w:uiPriority="0" w:name="index 4" w:locked="1"/>
    <w:lsdException w:uiPriority="0" w:name="index 5" w:locked="1"/>
    <w:lsdException w:uiPriority="0" w:name="index 6" w:locked="1"/>
    <w:lsdException w:uiPriority="0" w:name="index 7" w:locked="1"/>
    <w:lsdException w:uiPriority="0" w:name="index 8" w:locked="1"/>
    <w:lsdException w:uiPriority="0" w:name="index 9" w:locked="1"/>
    <w:lsdException w:uiPriority="39" w:name="toc 1" w:locked="1"/>
    <w:lsdException w:uiPriority="39" w:name="toc 2" w:locked="1"/>
    <w:lsdException w:uiPriority="39" w:name="toc 3" w:locked="1"/>
    <w:lsdException w:uiPriority="39" w:name="toc 4" w:locked="1"/>
    <w:lsdException w:uiPriority="39" w:name="toc 5" w:locked="1"/>
    <w:lsdException w:uiPriority="39" w:name="toc 6" w:locked="1"/>
    <w:lsdException w:uiPriority="39" w:name="toc 7" w:locked="1"/>
    <w:lsdException w:uiPriority="39" w:name="toc 8" w:locked="1"/>
    <w:lsdException w:uiPriority="39" w:name="toc 9" w:locked="1"/>
    <w:lsdException w:uiPriority="0" w:name="Normal Indent" w:locked="1"/>
    <w:lsdException w:uiPriority="0" w:name="footnote text" w:locked="1"/>
    <w:lsdException w:uiPriority="0" w:name="annotation text" w:locked="1"/>
    <w:lsdException w:qFormat="1" w:unhideWhenUsed="0" w:uiPriority="99" w:semiHidden="0" w:name="header"/>
    <w:lsdException w:qFormat="1" w:unhideWhenUsed="0" w:uiPriority="99" w:semiHidden="0" w:name="footer"/>
    <w:lsdException w:uiPriority="0" w:name="index heading" w:locked="1"/>
    <w:lsdException w:qFormat="1" w:uiPriority="35" w:name="caption" w:locked="1"/>
    <w:lsdException w:uiPriority="0" w:name="table of figures" w:locked="1"/>
    <w:lsdException w:uiPriority="0" w:name="envelope address" w:locked="1"/>
    <w:lsdException w:uiPriority="0" w:name="envelope return" w:locked="1"/>
    <w:lsdException w:uiPriority="0" w:name="footnote reference" w:locked="1"/>
    <w:lsdException w:uiPriority="0" w:name="annotation reference" w:locked="1"/>
    <w:lsdException w:uiPriority="0" w:name="line number" w:locked="1"/>
    <w:lsdException w:qFormat="1" w:unhideWhenUsed="0" w:uiPriority="99" w:semiHidden="0" w:name="page number"/>
    <w:lsdException w:uiPriority="0" w:name="endnote reference" w:locked="1"/>
    <w:lsdException w:uiPriority="0" w:name="endnote text" w:locked="1"/>
    <w:lsdException w:uiPriority="0" w:name="table of authorities" w:locked="1"/>
    <w:lsdException w:uiPriority="0" w:name="macro" w:locked="1"/>
    <w:lsdException w:uiPriority="0" w:name="toa heading" w:locked="1"/>
    <w:lsdException w:uiPriority="0" w:name="List" w:locked="1"/>
    <w:lsdException w:uiPriority="0" w:name="List Bullet" w:locked="1"/>
    <w:lsdException w:uiPriority="0" w:name="List Number" w:locked="1"/>
    <w:lsdException w:uiPriority="0" w:name="List 2" w:locked="1"/>
    <w:lsdException w:uiPriority="0" w:name="List 3" w:locked="1"/>
    <w:lsdException w:uiPriority="0" w:name="List 4" w:locked="1"/>
    <w:lsdException w:uiPriority="0" w:name="List 5" w:locked="1"/>
    <w:lsdException w:uiPriority="0" w:name="List Bullet 2" w:locked="1"/>
    <w:lsdException w:uiPriority="0" w:name="List Bullet 3" w:locked="1"/>
    <w:lsdException w:uiPriority="0" w:name="List Bullet 4" w:locked="1"/>
    <w:lsdException w:uiPriority="0" w:name="List Bullet 5" w:locked="1"/>
    <w:lsdException w:uiPriority="0" w:name="List Number 2" w:locked="1"/>
    <w:lsdException w:uiPriority="0" w:name="List Number 3" w:locked="1"/>
    <w:lsdException w:uiPriority="0" w:name="List Number 4" w:locked="1"/>
    <w:lsdException w:uiPriority="0" w:name="List Number 5" w:locked="1"/>
    <w:lsdException w:qFormat="1" w:unhideWhenUsed="0" w:uiPriority="10" w:semiHidden="0" w:name="Title" w:locked="1"/>
    <w:lsdException w:uiPriority="0" w:name="Closing" w:locked="1"/>
    <w:lsdException w:uiPriority="0" w:name="Signature" w:locked="1"/>
    <w:lsdException w:qFormat="1" w:uiPriority="1" w:name="Default Paragraph Font"/>
    <w:lsdException w:uiPriority="0" w:name="Body Text" w:locked="1"/>
    <w:lsdException w:uiPriority="0" w:name="Body Text Indent" w:locked="1"/>
    <w:lsdException w:uiPriority="0" w:name="List Continue" w:locked="1"/>
    <w:lsdException w:uiPriority="0" w:name="List Continue 2" w:locked="1"/>
    <w:lsdException w:uiPriority="0" w:name="List Continue 3" w:locked="1"/>
    <w:lsdException w:uiPriority="0" w:name="List Continue 4" w:locked="1"/>
    <w:lsdException w:uiPriority="0" w:name="List Continue 5" w:locked="1"/>
    <w:lsdException w:uiPriority="0" w:name="Message Header" w:locked="1"/>
    <w:lsdException w:qFormat="1" w:unhideWhenUsed="0" w:uiPriority="11" w:semiHidden="0" w:name="Subtitle" w:locked="1"/>
    <w:lsdException w:uiPriority="0" w:name="Salutation" w:locked="1"/>
    <w:lsdException w:uiPriority="0" w:name="Date" w:locked="1"/>
    <w:lsdException w:uiPriority="0" w:name="Body Text First Indent" w:locked="1"/>
    <w:lsdException w:uiPriority="0" w:name="Body Text First Indent 2" w:locked="1"/>
    <w:lsdException w:uiPriority="0" w:name="Note Heading" w:locked="1"/>
    <w:lsdException w:uiPriority="0" w:name="Body Text 2" w:locked="1"/>
    <w:lsdException w:uiPriority="0" w:name="Body Text 3" w:locked="1"/>
    <w:lsdException w:uiPriority="0" w:name="Body Text Indent 2" w:locked="1"/>
    <w:lsdException w:uiPriority="0" w:name="Body Text Indent 3" w:locked="1"/>
    <w:lsdException w:uiPriority="0" w:name="Block Text" w:locked="1"/>
    <w:lsdException w:uiPriority="0" w:name="Hyperlink" w:locked="1"/>
    <w:lsdException w:uiPriority="0" w:name="FollowedHyperlink" w:locked="1"/>
    <w:lsdException w:qFormat="1" w:unhideWhenUsed="0" w:uiPriority="22" w:semiHidden="0" w:name="Strong" w:locked="1"/>
    <w:lsdException w:qFormat="1" w:unhideWhenUsed="0" w:uiPriority="20" w:semiHidden="0" w:name="Emphasis" w:locked="1"/>
    <w:lsdException w:uiPriority="0" w:name="Document Map" w:locked="1"/>
    <w:lsdException w:uiPriority="0" w:name="Plain Text" w:locked="1"/>
    <w:lsdException w:uiPriority="0" w:name="E-mail Signature" w:locked="1"/>
    <w:lsdException w:uiPriority="0" w:name="Normal (Web)" w:locked="1"/>
    <w:lsdException w:uiPriority="0" w:name="HTML Acronym" w:locked="1"/>
    <w:lsdException w:uiPriority="0" w:name="HTML Address" w:locked="1"/>
    <w:lsdException w:uiPriority="0" w:name="HTML Cite" w:locked="1"/>
    <w:lsdException w:uiPriority="0" w:name="HTML Code" w:locked="1"/>
    <w:lsdException w:uiPriority="0" w:name="HTML Definition" w:locked="1"/>
    <w:lsdException w:uiPriority="0" w:name="HTML Keyboard" w:locked="1"/>
    <w:lsdException w:uiPriority="0" w:name="HTML Preformatted" w:locked="1"/>
    <w:lsdException w:uiPriority="0" w:name="HTML Sample" w:locked="1"/>
    <w:lsdException w:uiPriority="0" w:name="HTML Typewriter" w:locked="1"/>
    <w:lsdException w:uiPriority="0" w:name="HTML Variable" w:locked="1"/>
    <w:lsdException w:qFormat="1" w:uiPriority="99" w:name="Normal Table"/>
    <w:lsdException w:uiPriority="0" w:name="annotation subject" w:locked="1"/>
    <w:lsdException w:uiPriority="0" w:name="Table Simple 1" w:locked="1"/>
    <w:lsdException w:uiPriority="0" w:name="Table Simple 2" w:locked="1"/>
    <w:lsdException w:uiPriority="0" w:name="Table Simple 3" w:locked="1"/>
    <w:lsdException w:uiPriority="0" w:name="Table Classic 1" w:locked="1"/>
    <w:lsdException w:uiPriority="0" w:name="Table Classic 2" w:locked="1"/>
    <w:lsdException w:uiPriority="0" w:name="Table Classic 3" w:locked="1"/>
    <w:lsdException w:uiPriority="0" w:name="Table Classic 4" w:locked="1"/>
    <w:lsdException w:uiPriority="0" w:name="Table Colorful 1" w:locked="1"/>
    <w:lsdException w:uiPriority="0" w:name="Table Colorful 2" w:locked="1"/>
    <w:lsdException w:uiPriority="0" w:name="Table Colorful 3" w:locked="1"/>
    <w:lsdException w:uiPriority="0" w:name="Table Columns 1" w:locked="1"/>
    <w:lsdException w:uiPriority="0" w:name="Table Columns 2" w:locked="1"/>
    <w:lsdException w:uiPriority="0" w:name="Table Columns 3" w:locked="1"/>
    <w:lsdException w:uiPriority="0" w:name="Table Columns 4" w:locked="1"/>
    <w:lsdException w:uiPriority="0" w:name="Table Columns 5" w:locked="1"/>
    <w:lsdException w:uiPriority="0" w:name="Table Grid 1" w:locked="1"/>
    <w:lsdException w:uiPriority="0" w:name="Table Grid 2" w:locked="1"/>
    <w:lsdException w:uiPriority="0" w:name="Table Grid 3" w:locked="1"/>
    <w:lsdException w:uiPriority="0" w:name="Table Grid 4" w:locked="1"/>
    <w:lsdException w:uiPriority="0" w:name="Table Grid 5" w:locked="1"/>
    <w:lsdException w:uiPriority="0" w:name="Table Grid 6" w:locked="1"/>
    <w:lsdException w:uiPriority="0" w:name="Table Grid 7" w:locked="1"/>
    <w:lsdException w:uiPriority="0" w:name="Table Grid 8" w:locked="1"/>
    <w:lsdException w:uiPriority="0" w:name="Table List 1" w:locked="1"/>
    <w:lsdException w:uiPriority="0" w:name="Table List 2" w:locked="1"/>
    <w:lsdException w:uiPriority="0" w:name="Table List 3" w:locked="1"/>
    <w:lsdException w:uiPriority="0" w:name="Table List 4" w:locked="1"/>
    <w:lsdException w:uiPriority="0" w:name="Table List 5" w:locked="1"/>
    <w:lsdException w:uiPriority="0" w:name="Table List 6" w:locked="1"/>
    <w:lsdException w:uiPriority="0" w:name="Table List 7" w:locked="1"/>
    <w:lsdException w:uiPriority="0" w:name="Table List 8" w:locked="1"/>
    <w:lsdException w:uiPriority="0" w:name="Table 3D effects 1" w:locked="1"/>
    <w:lsdException w:uiPriority="0" w:name="Table 3D effects 2" w:locked="1"/>
    <w:lsdException w:uiPriority="0" w:name="Table 3D effects 3" w:locked="1"/>
    <w:lsdException w:uiPriority="0" w:name="Table Contemporary" w:locked="1"/>
    <w:lsdException w:uiPriority="0" w:name="Table Elegant" w:locked="1"/>
    <w:lsdException w:uiPriority="0" w:name="Table Professional" w:locked="1"/>
    <w:lsdException w:uiPriority="0" w:name="Table Subtle 1" w:locked="1"/>
    <w:lsdException w:uiPriority="0" w:name="Table Subtle 2" w:locked="1"/>
    <w:lsdException w:uiPriority="0" w:name="Table Web 1" w:locked="1"/>
    <w:lsdException w:uiPriority="0" w:name="Table Web 2" w:locked="1"/>
    <w:lsdException w:uiPriority="0" w:name="Table Web 3" w:locked="1"/>
    <w:lsdException w:qFormat="1" w:unhideWhenUsed="0" w:uiPriority="99" w:name="Balloon Text" w:locked="1"/>
    <w:lsdException w:unhideWhenUsed="0" w:uiPriority="59" w:semiHidden="0" w:name="Table Grid" w:locked="1"/>
    <w:lsdException w:uiPriority="0"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5">
    <w:name w:val="Default Paragraph Font"/>
    <w:unhideWhenUsed/>
    <w:qFormat/>
    <w:uiPriority w:val="1"/>
  </w:style>
  <w:style w:type="table" w:default="1" w:styleId="7">
    <w:name w:val="Normal Table"/>
    <w:unhideWhenUsed/>
    <w:qFormat/>
    <w:uiPriority w:val="99"/>
    <w:tblPr>
      <w:tblStyle w:val="7"/>
      <w:tblLayout w:type="fixed"/>
      <w:tblCellMar>
        <w:top w:w="0" w:type="dxa"/>
        <w:left w:w="108" w:type="dxa"/>
        <w:bottom w:w="0" w:type="dxa"/>
        <w:right w:w="108" w:type="dxa"/>
      </w:tblCellMar>
    </w:tblPr>
    <w:tcPr>
      <w:textDirection w:val="lrTb"/>
    </w:tcPr>
  </w:style>
  <w:style w:type="paragraph" w:styleId="2">
    <w:name w:val="Balloon Text"/>
    <w:basedOn w:val="1"/>
    <w:link w:val="9"/>
    <w:semiHidden/>
    <w:qFormat/>
    <w:locked/>
    <w:uiPriority w:val="99"/>
    <w:rPr>
      <w:sz w:val="18"/>
      <w:szCs w:val="18"/>
    </w:rPr>
  </w:style>
  <w:style w:type="paragraph" w:styleId="3">
    <w:name w:val="footer"/>
    <w:basedOn w:val="1"/>
    <w:link w:val="10"/>
    <w:qFormat/>
    <w:uiPriority w:val="99"/>
    <w:pPr>
      <w:tabs>
        <w:tab w:val="center" w:pos="4153"/>
        <w:tab w:val="right" w:pos="8306"/>
      </w:tabs>
      <w:snapToGrid w:val="0"/>
      <w:jc w:val="left"/>
    </w:pPr>
    <w:rPr>
      <w:sz w:val="18"/>
      <w:szCs w:val="18"/>
    </w:rPr>
  </w:style>
  <w:style w:type="paragraph" w:styleId="4">
    <w:name w:val="header"/>
    <w:basedOn w:val="1"/>
    <w:link w:val="11"/>
    <w:qFormat/>
    <w:uiPriority w:val="99"/>
    <w:pPr>
      <w:pBdr>
        <w:bottom w:val="single" w:color="auto" w:sz="6" w:space="1"/>
      </w:pBdr>
      <w:tabs>
        <w:tab w:val="center" w:pos="4153"/>
        <w:tab w:val="right" w:pos="8306"/>
      </w:tabs>
      <w:snapToGrid w:val="0"/>
      <w:jc w:val="center"/>
    </w:pPr>
    <w:rPr>
      <w:sz w:val="18"/>
      <w:szCs w:val="18"/>
    </w:rPr>
  </w:style>
  <w:style w:type="character" w:styleId="6">
    <w:name w:val="page number"/>
    <w:basedOn w:val="5"/>
    <w:qFormat/>
    <w:uiPriority w:val="99"/>
    <w:rPr>
      <w:rFonts w:cs="Times New Roman"/>
    </w:rPr>
  </w:style>
  <w:style w:type="paragraph" w:customStyle="1" w:styleId="8">
    <w:name w:val="Char Char Char Char Char Char Char"/>
    <w:basedOn w:val="1"/>
    <w:qFormat/>
    <w:uiPriority w:val="99"/>
    <w:rPr>
      <w:rFonts w:ascii="Times New Roman" w:hAnsi="Times New Roman"/>
      <w:szCs w:val="24"/>
    </w:rPr>
  </w:style>
  <w:style w:type="character" w:customStyle="1" w:styleId="9">
    <w:name w:val="批注框文本 Char"/>
    <w:basedOn w:val="5"/>
    <w:link w:val="2"/>
    <w:semiHidden/>
    <w:qFormat/>
    <w:locked/>
    <w:uiPriority w:val="99"/>
    <w:rPr>
      <w:rFonts w:cs="Times New Roman"/>
      <w:sz w:val="2"/>
    </w:rPr>
  </w:style>
  <w:style w:type="character" w:customStyle="1" w:styleId="10">
    <w:name w:val="页脚 Char"/>
    <w:basedOn w:val="5"/>
    <w:link w:val="3"/>
    <w:semiHidden/>
    <w:qFormat/>
    <w:locked/>
    <w:uiPriority w:val="99"/>
    <w:rPr>
      <w:rFonts w:cs="Times New Roman"/>
      <w:sz w:val="18"/>
      <w:szCs w:val="18"/>
    </w:rPr>
  </w:style>
  <w:style w:type="character" w:customStyle="1" w:styleId="11">
    <w:name w:val="页眉 Char"/>
    <w:basedOn w:val="5"/>
    <w:link w:val="4"/>
    <w:semiHidden/>
    <w:qFormat/>
    <w:locked/>
    <w:uiPriority w:val="99"/>
    <w:rPr>
      <w:rFonts w:cs="Times New Roman"/>
      <w:sz w:val="18"/>
      <w:szCs w:val="18"/>
    </w:rPr>
  </w:style>
</w:styles>
</file>

<file path=word/_rels/document.xml.rels><?xml version="1.0" encoding="UTF-8" standalone="yes"?>
<Relationships xmlns="http://schemas.openxmlformats.org/package/2006/relationships"><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Pages>
  <Words>235</Words>
  <Characters>1344</Characters>
  <Lines>11</Lines>
  <Paragraphs>3</Paragraphs>
  <TotalTime>0</TotalTime>
  <ScaleCrop>false</ScaleCrop>
  <LinksUpToDate>false</LinksUpToDate>
  <CharactersWithSpaces>0</CharactersWithSpaces>
  <Application>WPS Office 个人版_9.1.0.4872_{F1E327BC-269C-435d-A152-05C5408002CA}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2018-05-21T03:30:00Z</dcterms:created>
  <dc:creator>Administrator</dc:creator>
  <cp:lastModifiedBy>LEVOVO</cp:lastModifiedBy>
  <cp:lastPrinted>2018-05-21T07:36:00Z</cp:lastPrinted>
  <dcterms:modified xsi:type="dcterms:W3CDTF">2019-04-01T02:30:10Z</dcterms:modified>
  <dc:title>浮财预〔2018〕86号</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2052-9.1.0.4872</vt:lpwstr>
  </property>
</Properties>
</file>