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发展和改革局</w:t>
      </w: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一、基本情况</w:t>
      </w:r>
      <w:r>
        <w:rPr>
          <w:rFonts w:hint="eastAsia" w:ascii="仿宋_GB2312" w:eastAsia="仿宋_GB2312"/>
          <w:b/>
          <w:sz w:val="32"/>
          <w:szCs w:val="32"/>
          <w:lang w:val="en-US" w:eastAsia="zh-CN"/>
        </w:rPr>
        <w:t>(包括机构设置情况）</w:t>
      </w:r>
    </w:p>
    <w:p>
      <w:pPr>
        <w:pStyle w:val="5"/>
        <w:widowControl/>
        <w:wordWrap/>
        <w:adjustRightInd/>
        <w:snapToGrid/>
        <w:spacing w:before="0" w:beforeAutospacing="0" w:after="0" w:afterAutospacing="0" w:line="600" w:lineRule="exact"/>
        <w:ind w:right="0" w:firstLine="640" w:firstLineChars="200"/>
        <w:textAlignment w:val="auto"/>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浮山县发展和改革局是县人民政府工作部门，为正科级，加挂县粮食局、县能源局牌子。</w:t>
      </w:r>
      <w:r>
        <w:rPr>
          <w:rFonts w:hint="eastAsia" w:ascii="仿宋_GB2312" w:eastAsia="仿宋_GB2312"/>
          <w:b w:val="0"/>
          <w:bCs w:val="0"/>
          <w:sz w:val="32"/>
          <w:szCs w:val="32"/>
          <w:lang w:val="en-US" w:eastAsia="zh-CN"/>
        </w:rPr>
        <w:t>县</w:t>
      </w:r>
      <w:r>
        <w:rPr>
          <w:rFonts w:hint="eastAsia" w:ascii="仿宋_GB2312" w:hAnsi="Times New Roman" w:eastAsia="仿宋_GB2312" w:cs="Times New Roman"/>
          <w:kern w:val="2"/>
          <w:sz w:val="32"/>
          <w:szCs w:val="32"/>
          <w:lang w:val="en-US" w:eastAsia="zh-CN" w:bidi="ar-SA"/>
        </w:rPr>
        <w:t>委财经委员</w:t>
      </w:r>
      <w:r>
        <w:rPr>
          <w:rFonts w:hint="eastAsia" w:ascii="仿宋_GB2312" w:hAnsi="Times New Roman" w:eastAsia="仿宋_GB2312" w:cs="Times New Roman"/>
          <w:b w:val="0"/>
          <w:bCs w:val="0"/>
          <w:kern w:val="2"/>
          <w:sz w:val="32"/>
          <w:szCs w:val="32"/>
          <w:lang w:val="en-US" w:eastAsia="zh-CN" w:bidi="ar-SA"/>
        </w:rPr>
        <w:t>会办公室</w:t>
      </w:r>
      <w:r>
        <w:rPr>
          <w:rFonts w:hint="eastAsia" w:ascii="仿宋_GB2312" w:hAnsi="Times New Roman" w:eastAsia="仿宋_GB2312" w:cs="Times New Roman"/>
          <w:kern w:val="2"/>
          <w:sz w:val="32"/>
          <w:szCs w:val="32"/>
          <w:lang w:val="en-US" w:eastAsia="zh-CN" w:bidi="ar-SA"/>
        </w:rPr>
        <w:t>设在县发展和改革局，接受县委财经委员会的直接领导，承担县委财经委员会具体工作。</w:t>
      </w:r>
      <w:r>
        <w:rPr>
          <w:rFonts w:hint="eastAsia" w:ascii="仿宋_GB2312" w:hAnsi="Times New Roman" w:eastAsia="仿宋_GB2312" w:cs="Times New Roman"/>
          <w:b w:val="0"/>
          <w:bCs w:val="0"/>
          <w:kern w:val="2"/>
          <w:sz w:val="32"/>
          <w:szCs w:val="32"/>
          <w:lang w:val="en-US" w:eastAsia="zh-CN" w:bidi="ar-SA"/>
        </w:rPr>
        <w:t>县发展和改革局设下列内设机构：</w:t>
      </w:r>
      <w:r>
        <w:rPr>
          <w:rFonts w:hint="eastAsia" w:ascii="仿宋" w:hAnsi="仿宋" w:eastAsia="仿宋" w:cs="仿宋"/>
          <w:b w:val="0"/>
          <w:bCs w:val="0"/>
          <w:kern w:val="2"/>
          <w:sz w:val="32"/>
          <w:szCs w:val="32"/>
          <w:lang w:val="en-US" w:eastAsia="zh-CN" w:bidi="ar-SA"/>
        </w:rPr>
        <w:t>办公室、综合业务股(行政审批股）、</w:t>
      </w:r>
      <w:r>
        <w:rPr>
          <w:rFonts w:hint="eastAsia" w:ascii="仿宋_GB2312" w:hAnsi="仿宋_GB2312" w:eastAsia="仿宋_GB2312" w:cs="仿宋_GB2312"/>
          <w:b w:val="0"/>
          <w:bCs w:val="0"/>
          <w:color w:val="000000"/>
          <w:sz w:val="32"/>
          <w:szCs w:val="32"/>
        </w:rPr>
        <w:t>政策法规</w:t>
      </w:r>
      <w:r>
        <w:rPr>
          <w:rFonts w:hint="eastAsia" w:ascii="仿宋_GB2312" w:hAnsi="仿宋_GB2312" w:eastAsia="仿宋_GB2312" w:cs="仿宋_GB2312"/>
          <w:b w:val="0"/>
          <w:bCs w:val="0"/>
          <w:color w:val="000000"/>
          <w:sz w:val="32"/>
          <w:szCs w:val="32"/>
          <w:lang w:eastAsia="zh-CN"/>
        </w:rPr>
        <w:t>督查室。</w:t>
      </w:r>
      <w:r>
        <w:rPr>
          <w:rFonts w:hint="eastAsia" w:ascii="仿宋_GB2312" w:hAnsi="Times New Roman" w:eastAsia="仿宋_GB2312" w:cs="Times New Roman"/>
          <w:b w:val="0"/>
          <w:bCs w:val="0"/>
          <w:kern w:val="2"/>
          <w:sz w:val="32"/>
          <w:szCs w:val="32"/>
          <w:lang w:val="en-US" w:eastAsia="zh-CN" w:bidi="ar-SA"/>
        </w:rPr>
        <w:t>行政编制</w:t>
      </w:r>
      <w:r>
        <w:rPr>
          <w:rFonts w:hint="eastAsia" w:ascii="仿宋_GB2312" w:eastAsia="仿宋_GB2312" w:cs="Times New Roman"/>
          <w:b w:val="0"/>
          <w:bCs w:val="0"/>
          <w:kern w:val="2"/>
          <w:sz w:val="32"/>
          <w:szCs w:val="32"/>
          <w:lang w:val="en-US" w:eastAsia="zh-CN" w:bidi="ar-SA"/>
        </w:rPr>
        <w:t>6</w:t>
      </w:r>
      <w:r>
        <w:rPr>
          <w:rFonts w:hint="eastAsia" w:ascii="仿宋_GB2312" w:hAnsi="Times New Roman" w:eastAsia="仿宋_GB2312" w:cs="Times New Roman"/>
          <w:b w:val="0"/>
          <w:bCs w:val="0"/>
          <w:kern w:val="2"/>
          <w:sz w:val="32"/>
          <w:szCs w:val="32"/>
          <w:lang w:val="en-US" w:eastAsia="zh-CN" w:bidi="ar-SA"/>
        </w:rPr>
        <w:t>名（含县委财经委员会办公室</w:t>
      </w:r>
      <w:r>
        <w:rPr>
          <w:rFonts w:hint="eastAsia" w:ascii="仿宋_GB2312" w:eastAsia="仿宋_GB2312" w:cs="Times New Roman"/>
          <w:b w:val="0"/>
          <w:bCs w:val="0"/>
          <w:kern w:val="2"/>
          <w:sz w:val="32"/>
          <w:szCs w:val="32"/>
          <w:lang w:val="en-US" w:eastAsia="zh-CN" w:bidi="ar-SA"/>
        </w:rPr>
        <w:t>的</w:t>
      </w:r>
      <w:r>
        <w:rPr>
          <w:rFonts w:hint="eastAsia" w:ascii="仿宋_GB2312" w:hAnsi="Times New Roman" w:eastAsia="仿宋_GB2312" w:cs="Times New Roman"/>
          <w:b w:val="0"/>
          <w:bCs w:val="0"/>
          <w:kern w:val="2"/>
          <w:sz w:val="32"/>
          <w:szCs w:val="32"/>
          <w:lang w:val="en-US" w:eastAsia="zh-CN" w:bidi="ar-SA"/>
        </w:rPr>
        <w:t>编制）。设局长1名，副局长</w:t>
      </w:r>
      <w:r>
        <w:rPr>
          <w:rFonts w:hint="eastAsia" w:ascii="仿宋_GB2312" w:eastAsia="仿宋_GB2312" w:cs="Times New Roman"/>
          <w:b w:val="0"/>
          <w:bCs w:val="0"/>
          <w:kern w:val="2"/>
          <w:sz w:val="32"/>
          <w:szCs w:val="32"/>
          <w:lang w:val="en-US" w:eastAsia="zh-CN" w:bidi="ar-SA"/>
        </w:rPr>
        <w:t>2</w:t>
      </w:r>
      <w:r>
        <w:rPr>
          <w:rFonts w:hint="eastAsia" w:ascii="仿宋_GB2312" w:hAnsi="Times New Roman" w:eastAsia="仿宋_GB2312" w:cs="Times New Roman"/>
          <w:b w:val="0"/>
          <w:bCs w:val="0"/>
          <w:kern w:val="2"/>
          <w:sz w:val="32"/>
          <w:szCs w:val="32"/>
          <w:lang w:val="en-US" w:eastAsia="zh-CN" w:bidi="ar-SA"/>
        </w:rPr>
        <w:t>名</w:t>
      </w:r>
      <w:r>
        <w:rPr>
          <w:rFonts w:hint="eastAsia" w:ascii="仿宋_GB2312" w:eastAsia="仿宋_GB2312" w:cs="Times New Roman"/>
          <w:b w:val="0"/>
          <w:bCs w:val="0"/>
          <w:kern w:val="2"/>
          <w:sz w:val="32"/>
          <w:szCs w:val="32"/>
          <w:lang w:val="en-US" w:eastAsia="zh-CN" w:bidi="ar-SA"/>
        </w:rPr>
        <w:t>，总工程师1名，股级职数3名</w:t>
      </w:r>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CN" w:bidi="ar-SA"/>
        </w:rPr>
        <w:tab/>
      </w:r>
    </w:p>
    <w:p>
      <w:pPr>
        <w:spacing w:line="600" w:lineRule="exact"/>
        <w:ind w:firstLine="643" w:firstLineChars="200"/>
        <w:rPr>
          <w:rFonts w:hint="eastAsia" w:ascii="仿宋_GB2312" w:eastAsia="仿宋_GB2312"/>
          <w:b/>
          <w:bCs/>
          <w:sz w:val="32"/>
          <w:szCs w:val="32"/>
          <w:lang w:val="en-US" w:eastAsia="zh-CN"/>
        </w:rPr>
      </w:pPr>
      <w:r>
        <w:rPr>
          <w:rFonts w:hint="eastAsia" w:ascii="仿宋_GB2312" w:eastAsia="仿宋_GB2312"/>
          <w:b/>
          <w:sz w:val="32"/>
          <w:szCs w:val="32"/>
        </w:rPr>
        <w:t>二、主要职能</w:t>
      </w:r>
      <w:r>
        <w:rPr>
          <w:rFonts w:hint="eastAsia" w:ascii="仿宋_GB2312" w:eastAsia="仿宋_GB2312"/>
          <w:b w:val="0"/>
          <w:bCs w:val="0"/>
          <w:sz w:val="32"/>
          <w:szCs w:val="32"/>
          <w:lang w:val="en-US" w:eastAsia="zh-CN"/>
        </w:rPr>
        <w:t>县发展和改革局贯彻落实党中央、省委、市委、县委关于发展和改革工作的方针政策和决策部署，在履行职责过程中坚持和加强党对发展和改革工作的集中统一领导，主要职责是：</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（一）</w:t>
      </w:r>
      <w:r>
        <w:rPr>
          <w:rFonts w:hint="eastAsia" w:ascii="仿宋_GB2312" w:hAnsi="Times New Roman" w:eastAsia="仿宋_GB2312" w:cs="Times New Roman"/>
          <w:kern w:val="2"/>
          <w:sz w:val="32"/>
          <w:szCs w:val="32"/>
          <w:lang w:val="en-US" w:eastAsia="zh-CN" w:bidi="ar-SA"/>
        </w:rPr>
        <w:t>拟定并组织实施全县国民经济和社会发展战略、中长期规划和年度计划，统筹协调经济社会发展，研究分析县内外经济形势，提出全县国民经济发展、价格总水平调控和优化重大经济结构的目标、政策，提出综合运用各种经济手段和政策的建议，受县人民政府委托向县人大提交国民经济和社会发展计划的报告。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（二）监测全县宏观经济和社会发展态势，承担预测预警和信息引导的责任，研究宏观经济运行、总量平衡等重要问题并提出宏观调控政策建议。加强对宏观经济运行和社会发展情况的跟踪监测和分析。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（三）承担规划全县重大建设项目和生产力布局的责任，拟定全社会固定资产投资总规模和投资结构的调控目标、政策及措施。按规定权限审核建设项目。 指导和协调全县招标投标工作。</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四）推进全县经济结构战略性调整。组织拟定综合性产业政策，负责协调第一、二、三产业发展的重大问题衔接平衡相关发展规划和重大政策，做好与国民经济和社会发展规划、计划的衔接平衡；会同有关部门拟定服务业发展战略和重大政策，拟定现代物流业发展战略、规划。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（五）推进可持续发展战略。负责全县节能降耗综合协调工作，具体负责全县固定资产投资项目节能评估和审查工作。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（六） 组织实施国民经济动员有关工作。 </w:t>
      </w:r>
    </w:p>
    <w:p>
      <w:pPr>
        <w:widowControl w:val="0"/>
        <w:wordWrap/>
        <w:adjustRightInd/>
        <w:snapToGrid/>
        <w:spacing w:line="600" w:lineRule="exact"/>
        <w:ind w:firstLine="640" w:firstLineChars="200"/>
        <w:jc w:val="both"/>
        <w:textAlignment w:val="auto"/>
        <w:outlineLvl w:val="9"/>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（七）贯彻落实国家、省、市有关能源工作的法律、法规和政策，研究提出能源发展战略和政策建议；拟定能源发展规划并组织实施。</w:t>
      </w:r>
      <w:r>
        <w:rPr>
          <w:rFonts w:hint="eastAsia" w:ascii="仿宋_GB2312" w:hAnsi="仿宋_GB2312" w:eastAsia="仿宋_GB2312" w:cs="仿宋_GB2312"/>
          <w:color w:val="000000"/>
          <w:sz w:val="32"/>
          <w:szCs w:val="32"/>
          <w:u w:val="none"/>
        </w:rPr>
        <w:t>负责全</w:t>
      </w:r>
      <w:r>
        <w:rPr>
          <w:rFonts w:hint="eastAsia" w:ascii="仿宋_GB2312" w:hAnsi="仿宋_GB2312" w:eastAsia="仿宋_GB2312" w:cs="仿宋_GB2312"/>
          <w:color w:val="000000"/>
          <w:sz w:val="32"/>
          <w:szCs w:val="32"/>
          <w:u w:val="none"/>
          <w:lang w:eastAsia="zh-CN"/>
        </w:rPr>
        <w:t>县</w:t>
      </w:r>
      <w:r>
        <w:rPr>
          <w:rFonts w:hint="eastAsia" w:ascii="仿宋_GB2312" w:hAnsi="仿宋_GB2312" w:eastAsia="仿宋_GB2312" w:cs="仿宋_GB2312"/>
          <w:color w:val="000000"/>
          <w:sz w:val="32"/>
          <w:szCs w:val="32"/>
          <w:u w:val="none"/>
        </w:rPr>
        <w:t>能源行业管理。组织拟订全</w:t>
      </w:r>
      <w:r>
        <w:rPr>
          <w:rFonts w:hint="eastAsia" w:ascii="仿宋_GB2312" w:hAnsi="仿宋_GB2312" w:eastAsia="仿宋_GB2312" w:cs="仿宋_GB2312"/>
          <w:color w:val="000000"/>
          <w:sz w:val="32"/>
          <w:szCs w:val="32"/>
          <w:u w:val="none"/>
          <w:lang w:eastAsia="zh-CN"/>
        </w:rPr>
        <w:t>县</w:t>
      </w:r>
      <w:r>
        <w:rPr>
          <w:rFonts w:hint="eastAsia" w:ascii="仿宋_GB2312" w:hAnsi="仿宋_GB2312" w:eastAsia="仿宋_GB2312" w:cs="仿宋_GB2312"/>
          <w:color w:val="000000"/>
          <w:sz w:val="32"/>
          <w:szCs w:val="32"/>
          <w:u w:val="none"/>
        </w:rPr>
        <w:t>煤炭、电力</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石油、天然气、新能源和可再生能源等能源以及炼油等产业的相关标准并组织实施。</w:t>
      </w:r>
      <w:r>
        <w:rPr>
          <w:rFonts w:hint="eastAsia" w:ascii="仿宋_GB2312" w:eastAsia="仿宋_GB2312" w:cs="Times New Roman"/>
          <w:kern w:val="2"/>
          <w:sz w:val="32"/>
          <w:szCs w:val="32"/>
          <w:lang w:val="en-US" w:eastAsia="zh-CN" w:bidi="ar-SA"/>
        </w:rPr>
        <w:t>按县人民政府规定权限，负责审批、核准、审核能源固定资产投资项目，并负责组织项目竣工验收。负责能源预测预警，监测全县能源发展状况，发布能源信息，参与能源运行调节和应急保障。负责石油、天然气等管道建设和保护。指导协调新能源、可再生能源、农村电网和农村能源发展工作。协调电力发展和改革中的重大问题，负责电力运行管理。</w:t>
      </w:r>
      <w:r>
        <w:rPr>
          <w:rFonts w:hint="eastAsia" w:ascii="仿宋_GB2312" w:hAnsi="仿宋_GB2312" w:eastAsia="仿宋_GB2312" w:cs="仿宋_GB2312"/>
          <w:color w:val="000000"/>
          <w:sz w:val="32"/>
          <w:szCs w:val="32"/>
          <w:u w:val="none"/>
        </w:rPr>
        <w:t>负责供电营业区的划分、变更和《供电营业许可证》的颁发管理工作。</w:t>
      </w:r>
      <w:r>
        <w:rPr>
          <w:rFonts w:hint="eastAsia" w:ascii="仿宋_GB2312" w:eastAsia="仿宋_GB2312" w:cs="Times New Roman"/>
          <w:kern w:val="2"/>
          <w:sz w:val="32"/>
          <w:szCs w:val="32"/>
          <w:lang w:val="en-US" w:eastAsia="zh-CN" w:bidi="ar-SA"/>
        </w:rPr>
        <w:t>组织推进</w:t>
      </w:r>
      <w:r>
        <w:rPr>
          <w:rFonts w:hint="eastAsia" w:ascii="仿宋_GB2312" w:hAnsi="仿宋_GB2312" w:eastAsia="仿宋_GB2312" w:cs="仿宋_GB2312"/>
          <w:color w:val="000000"/>
          <w:sz w:val="32"/>
          <w:szCs w:val="32"/>
          <w:u w:val="none"/>
        </w:rPr>
        <w:t>能源重大设备研发及其相关重大科研项目</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指导能源科技进步、成套设备的引进消化创新</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组织协调相关重大示范工程、试点工程</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积极推广应用新产品、新技术</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新设备。</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hAnsi="仿宋_GB2312" w:eastAsia="仿宋_GB2312" w:cs="仿宋_GB2312"/>
          <w:color w:val="000000"/>
          <w:sz w:val="32"/>
          <w:szCs w:val="32"/>
          <w:u w:val="none"/>
          <w:lang w:eastAsia="zh-CN"/>
        </w:rPr>
      </w:pPr>
      <w:r>
        <w:rPr>
          <w:rFonts w:hint="eastAsia" w:ascii="仿宋_GB2312" w:eastAsia="仿宋_GB2312" w:cs="Times New Roman"/>
          <w:kern w:val="2"/>
          <w:sz w:val="32"/>
          <w:szCs w:val="32"/>
          <w:lang w:val="en-US" w:eastAsia="zh-CN" w:bidi="ar-SA"/>
        </w:rPr>
        <w:t>(八）</w:t>
      </w:r>
      <w:r>
        <w:rPr>
          <w:rFonts w:hint="eastAsia" w:ascii="仿宋_GB2312" w:hAnsi="仿宋_GB2312" w:eastAsia="仿宋_GB2312" w:cs="仿宋_GB2312"/>
          <w:sz w:val="32"/>
          <w:szCs w:val="32"/>
        </w:rPr>
        <w:t>牵头组织全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节能降耗工作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拟订年度工作计划并推动实施。承担能源行业节能降耗和资源综合利用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参与研究能源消费总量控制目标建议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指导、监督能源消费总量控制有关工作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衔接能源生产建设和供需平衡。</w:t>
      </w:r>
      <w:r>
        <w:rPr>
          <w:rFonts w:hint="eastAsia" w:ascii="仿宋_GB2312" w:hAnsi="仿宋_GB2312" w:eastAsia="仿宋_GB2312" w:cs="仿宋_GB2312"/>
          <w:color w:val="000000"/>
          <w:sz w:val="32"/>
          <w:szCs w:val="32"/>
          <w:u w:val="none"/>
        </w:rPr>
        <w:t>参与制定与能源相关的资源、环保及应对气候变化等政策</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提出能源价格调整和进出口总量建议</w:t>
      </w:r>
      <w:r>
        <w:rPr>
          <w:rFonts w:hint="eastAsia" w:ascii="仿宋_GB2312" w:hAnsi="仿宋_GB2312" w:eastAsia="仿宋_GB2312" w:cs="仿宋_GB2312"/>
          <w:color w:val="000000"/>
          <w:sz w:val="32"/>
          <w:szCs w:val="32"/>
          <w:u w:val="none"/>
          <w:lang w:eastAsia="zh-CN"/>
        </w:rPr>
        <w:t>。</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（九） 执行政府管理的重要商品和服务项目价格，制定和调整县管重要商品、服务项目相关价格和收费标准。组织制定经济适用性住房、廉租房等享受政府优惠政策住房价格政策、作价办法及相关价格；组织重要商品价格和服务价格政府定价听证会；负责涉外商品价格管理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（十）承担价格鉴定、认证、评估的管理和监督工作，开展物价政策咨询服务工作；指导价格的社会监督、公共服务、信用建设等工作。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（十一）负责组织对主要农产品、重要商品和服务项目价格的成本调查及定价成本监审工作。 </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二）研究提出全县粮食宏观调控、总量平衡以及粮食流通的中长期规划、粮食收储、动用县级储备粮的建议；研究提出粮食购销政策和最低收购价原则的建议并组织实施，拟订粮食收购市场准入指导标准。研究提出县级储备粮棉糖收购、销售、轮换计划并组织实施。归口管理全局统计工作，承担粮棉糖市场监测预警和全县粮食流通统计工作。承担粮食产销合作和全县军粮供应的相关工作。拟订全县粮食市场体系建设与发展规划并组织实施。拟订全县粮食产业发展规划并组织实施。</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三）拟订县级重要物资政策和规章制度并组织实施，研究提出健全县级重要物资储备体系的建议，研究提出县级重要物资储备规划、计划建议，组织实施县级重要物资储备的收储、轮换和日常管理。拟订县级原油、成品油、天然气收储、轮换和日常管理的政策和规章制度并组织实施，落实有关动用计划和指令。承担相关储备统计工作。</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（十四） 划入的职能。承担工业和信息化局经济运行、节能降耗、能源管理职责；承担工业和信息化局、民政局全县重要物资和应急储备物资收储、轮换和日常管理。</w:t>
      </w:r>
    </w:p>
    <w:p>
      <w:pPr>
        <w:pStyle w:val="5"/>
        <w:widowControl/>
        <w:wordWrap/>
        <w:adjustRightInd/>
        <w:snapToGrid/>
        <w:spacing w:before="0" w:beforeAutospacing="0" w:after="0" w:afterAutospacing="0" w:line="600" w:lineRule="exact"/>
        <w:ind w:left="0" w:right="0" w:firstLine="640" w:firstLineChars="200"/>
        <w:textAlignment w:val="auto"/>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（十五）完成县委、县政府交办的其他任务。</w:t>
      </w:r>
    </w:p>
    <w:p>
      <w:pPr>
        <w:spacing w:line="600" w:lineRule="exact"/>
        <w:ind w:firstLine="1600" w:firstLineChars="5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发改局2019</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发改局2019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发改局2019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发改局2019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发改局2019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发改局2019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发改局</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发改局2019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发改局2019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发改局2019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发改局2019</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270.71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260 </w:t>
      </w:r>
      <w:r>
        <w:rPr>
          <w:rFonts w:hint="eastAsia" w:ascii="仿宋_GB2312" w:eastAsia="仿宋_GB2312"/>
          <w:sz w:val="32"/>
          <w:szCs w:val="32"/>
        </w:rPr>
        <w:t>万元。其中：工资福利支出比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230 </w:t>
      </w:r>
      <w:r>
        <w:rPr>
          <w:rFonts w:hint="eastAsia" w:ascii="仿宋_GB2312" w:eastAsia="仿宋_GB2312"/>
          <w:sz w:val="32"/>
          <w:szCs w:val="32"/>
        </w:rPr>
        <w:t>万元，</w:t>
      </w:r>
      <w:r>
        <w:rPr>
          <w:rFonts w:hint="eastAsia" w:ascii="仿宋_GB2312" w:eastAsia="仿宋_GB2312"/>
          <w:sz w:val="32"/>
          <w:szCs w:val="32"/>
          <w:lang w:eastAsia="zh-CN"/>
        </w:rPr>
        <w:t>减少原因</w:t>
      </w:r>
      <w:r>
        <w:rPr>
          <w:rFonts w:hint="eastAsia" w:ascii="仿宋_GB2312" w:eastAsia="仿宋_GB2312"/>
          <w:sz w:val="32"/>
          <w:szCs w:val="32"/>
        </w:rPr>
        <w:t>原因为</w:t>
      </w:r>
      <w:r>
        <w:rPr>
          <w:rFonts w:hint="eastAsia" w:ascii="仿宋_GB2312" w:eastAsia="仿宋_GB2312"/>
          <w:sz w:val="32"/>
          <w:szCs w:val="32"/>
          <w:lang w:eastAsia="zh-CN"/>
        </w:rPr>
        <w:t>机构改革原单位分为两个单位，人员划分为两个单位</w:t>
      </w:r>
      <w:r>
        <w:rPr>
          <w:rFonts w:hint="eastAsia" w:ascii="仿宋_GB2312" w:eastAsia="仿宋_GB2312"/>
          <w:sz w:val="32"/>
          <w:szCs w:val="32"/>
        </w:rPr>
        <w:t>。商品和服务支出比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减少了</w:t>
      </w:r>
      <w:r>
        <w:rPr>
          <w:rFonts w:hint="eastAsia" w:ascii="仿宋_GB2312" w:eastAsia="仿宋_GB2312"/>
          <w:sz w:val="32"/>
          <w:szCs w:val="32"/>
          <w:lang w:val="en-US" w:eastAsia="zh-CN"/>
        </w:rPr>
        <w:t>290</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机构改革，原单位分为两个单位，人员划分为两个单位</w:t>
      </w:r>
      <w:r>
        <w:rPr>
          <w:rFonts w:hint="eastAsia" w:ascii="仿宋_GB2312" w:eastAsia="仿宋_GB2312"/>
          <w:sz w:val="32"/>
          <w:szCs w:val="32"/>
          <w:lang w:val="en-US" w:eastAsia="zh-CN"/>
        </w:rPr>
        <w:t xml:space="preserve"> </w:t>
      </w:r>
      <w:r>
        <w:rPr>
          <w:rFonts w:hint="eastAsia" w:ascii="仿宋_GB2312" w:eastAsia="仿宋_GB2312"/>
          <w:sz w:val="32"/>
          <w:szCs w:val="32"/>
        </w:rPr>
        <w:t>。对个人和家庭补助支出比</w:t>
      </w:r>
      <w:r>
        <w:rPr>
          <w:rFonts w:hint="eastAsia" w:ascii="仿宋_GB2312" w:eastAsia="仿宋_GB2312"/>
          <w:sz w:val="32"/>
          <w:szCs w:val="32"/>
          <w:lang w:eastAsia="zh-CN"/>
        </w:rPr>
        <w:t>2018</w:t>
      </w:r>
      <w:r>
        <w:rPr>
          <w:rFonts w:hint="eastAsia" w:ascii="仿宋_GB2312" w:eastAsia="仿宋_GB2312"/>
          <w:sz w:val="32"/>
          <w:szCs w:val="32"/>
        </w:rPr>
        <w:t>年</w:t>
      </w:r>
      <w:r>
        <w:rPr>
          <w:rFonts w:hint="eastAsia" w:ascii="仿宋_GB2312" w:eastAsia="仿宋_GB2312"/>
          <w:sz w:val="32"/>
          <w:szCs w:val="32"/>
          <w:lang w:eastAsia="zh-CN"/>
        </w:rPr>
        <w:t>减少了</w:t>
      </w:r>
      <w:r>
        <w:rPr>
          <w:rFonts w:hint="eastAsia" w:ascii="仿宋_GB2312" w:eastAsia="仿宋_GB2312"/>
          <w:sz w:val="32"/>
          <w:szCs w:val="32"/>
          <w:lang w:val="en-US" w:eastAsia="zh-CN"/>
        </w:rPr>
        <w:t xml:space="preserve">5.5 </w:t>
      </w:r>
      <w:r>
        <w:rPr>
          <w:rFonts w:hint="eastAsia" w:ascii="仿宋_GB2312" w:eastAsia="仿宋_GB2312"/>
          <w:sz w:val="32"/>
          <w:szCs w:val="32"/>
        </w:rPr>
        <w:t>万元。</w:t>
      </w:r>
      <w:r>
        <w:rPr>
          <w:rFonts w:hint="eastAsia" w:ascii="仿宋_GB2312" w:eastAsia="仿宋_GB2312"/>
          <w:sz w:val="32"/>
          <w:szCs w:val="32"/>
          <w:lang w:eastAsia="zh-CN"/>
        </w:rPr>
        <w:t>减少原因</w:t>
      </w:r>
      <w:r>
        <w:rPr>
          <w:rFonts w:hint="eastAsia" w:ascii="仿宋_GB2312" w:eastAsia="仿宋_GB2312"/>
          <w:sz w:val="32"/>
          <w:szCs w:val="32"/>
        </w:rPr>
        <w:t>为</w:t>
      </w:r>
      <w:r>
        <w:rPr>
          <w:rFonts w:hint="eastAsia" w:ascii="仿宋_GB2312" w:eastAsia="仿宋_GB2312"/>
          <w:sz w:val="32"/>
          <w:szCs w:val="32"/>
          <w:lang w:eastAsia="zh-CN"/>
        </w:rPr>
        <w:t>机构改革，原单位分为两个单位，人员划分为两个单位</w:t>
      </w:r>
      <w:r>
        <w:rPr>
          <w:rFonts w:hint="eastAsia" w:ascii="仿宋_GB2312" w:eastAsia="仿宋_GB2312"/>
          <w:sz w:val="32"/>
          <w:szCs w:val="32"/>
          <w:lang w:val="en-US" w:eastAsia="zh-CN"/>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我单位</w:t>
      </w:r>
      <w:r>
        <w:rPr>
          <w:rFonts w:hint="eastAsia" w:ascii="仿宋_GB2312" w:eastAsia="仿宋_GB2312"/>
          <w:sz w:val="32"/>
          <w:szCs w:val="32"/>
          <w:lang w:val="en-US" w:eastAsia="zh-CN"/>
        </w:rPr>
        <w:t>2018年和2019年</w:t>
      </w:r>
      <w:r>
        <w:rPr>
          <w:rFonts w:hint="eastAsia" w:ascii="仿宋_GB2312" w:eastAsia="仿宋_GB2312"/>
          <w:sz w:val="32"/>
          <w:szCs w:val="32"/>
          <w:lang w:eastAsia="zh-CN"/>
        </w:rPr>
        <w:t>均无“三公”经费预算安排。</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发改局</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 11.5  </w:t>
      </w:r>
      <w:r>
        <w:rPr>
          <w:rFonts w:hint="eastAsia" w:ascii="仿宋_GB2312" w:eastAsia="仿宋_GB2312"/>
          <w:sz w:val="32"/>
          <w:szCs w:val="32"/>
        </w:rPr>
        <w:t>万元，比</w:t>
      </w:r>
      <w:r>
        <w:rPr>
          <w:rFonts w:hint="eastAsia" w:ascii="仿宋_GB2312" w:eastAsia="仿宋_GB2312"/>
          <w:sz w:val="32"/>
          <w:szCs w:val="32"/>
          <w:lang w:eastAsia="zh-CN"/>
        </w:rPr>
        <w:t>2018</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7.1 </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40 </w:t>
      </w:r>
      <w:r>
        <w:rPr>
          <w:rFonts w:ascii="仿宋_GB2312" w:eastAsia="仿宋_GB2312"/>
          <w:sz w:val="32"/>
          <w:szCs w:val="32"/>
        </w:rPr>
        <w:t>%,</w:t>
      </w:r>
      <w:r>
        <w:rPr>
          <w:rFonts w:hint="eastAsia" w:ascii="仿宋_GB2312" w:eastAsia="仿宋_GB2312"/>
          <w:sz w:val="32"/>
          <w:szCs w:val="32"/>
        </w:rPr>
        <w:t>原因是</w:t>
      </w:r>
      <w:r>
        <w:rPr>
          <w:rFonts w:hint="eastAsia" w:ascii="仿宋_GB2312" w:eastAsia="仿宋_GB2312"/>
          <w:sz w:val="32"/>
          <w:szCs w:val="32"/>
          <w:lang w:eastAsia="zh-CN"/>
        </w:rPr>
        <w:t>机构改革，原单位分为两个单位，人员划分为两个单位经费缩减</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发改局</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4.3</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 xml:space="preserve"> 4.3 </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 xml:space="preserve">  0 </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73.19</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2019年部门预算我单位无重点项目支出</w:t>
      </w:r>
    </w:p>
    <w:p>
      <w:pPr>
        <w:spacing w:line="600" w:lineRule="exact"/>
        <w:ind w:firstLine="640" w:firstLineChars="200"/>
        <w:rPr>
          <w:rFonts w:hint="eastAsia" w:ascii="仿宋_GB2312" w:eastAsia="仿宋_GB2312"/>
          <w:sz w:val="32"/>
          <w:szCs w:val="32"/>
        </w:rPr>
      </w:pPr>
    </w:p>
    <w:p>
      <w:pPr>
        <w:spacing w:line="600" w:lineRule="exact"/>
        <w:ind w:firstLine="640" w:firstLineChars="200"/>
        <w:rPr>
          <w:rFonts w:hint="eastAsia"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88E0DB5"/>
    <w:rsid w:val="0E0A19CE"/>
    <w:rsid w:val="238741E9"/>
    <w:rsid w:val="2425476E"/>
    <w:rsid w:val="3D2F7C22"/>
    <w:rsid w:val="46BA0F9C"/>
    <w:rsid w:val="4AC240C8"/>
    <w:rsid w:val="52BE79F3"/>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locked/>
    <w:uiPriority w:val="0"/>
    <w:pPr>
      <w:spacing w:before="0" w:beforeAutospacing="1" w:after="0" w:afterAutospacing="1"/>
      <w:ind w:left="0" w:right="0"/>
      <w:jc w:val="left"/>
    </w:pPr>
    <w:rPr>
      <w:kern w:val="0"/>
      <w:sz w:val="24"/>
      <w:lang w:val="en-US" w:eastAsia="zh-CN"/>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Balloon Text Char"/>
    <w:basedOn w:val="6"/>
    <w:link w:val="2"/>
    <w:semiHidden/>
    <w:qFormat/>
    <w:locked/>
    <w:uiPriority w:val="99"/>
    <w:rPr>
      <w:rFonts w:cs="Times New Roman"/>
      <w:sz w:val="2"/>
    </w:rPr>
  </w:style>
  <w:style w:type="character" w:customStyle="1" w:styleId="11">
    <w:name w:val="Footer Char"/>
    <w:basedOn w:val="6"/>
    <w:link w:val="3"/>
    <w:semiHidden/>
    <w:qFormat/>
    <w:locked/>
    <w:uiPriority w:val="99"/>
    <w:rPr>
      <w:rFonts w:cs="Times New Roman"/>
      <w:sz w:val="18"/>
      <w:szCs w:val="18"/>
    </w:rPr>
  </w:style>
  <w:style w:type="character" w:customStyle="1" w:styleId="12">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2019-04-01T02:32:31Z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