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CD03F1">
      <w:pPr>
        <w:spacing w:line="600" w:lineRule="exact"/>
        <w:ind w:firstLine="640" w:firstLineChars="200"/>
        <w:rPr>
          <w:rFonts w:ascii="仿宋_GB2312" w:eastAsia="仿宋_GB2312"/>
          <w:sz w:val="32"/>
          <w:szCs w:val="32"/>
        </w:rPr>
      </w:pPr>
    </w:p>
    <w:p w14:paraId="29653766">
      <w:pPr>
        <w:spacing w:line="600" w:lineRule="exact"/>
        <w:jc w:val="center"/>
        <w:rPr>
          <w:rFonts w:ascii="宋体" w:hAnsi="宋体"/>
          <w:b/>
          <w:sz w:val="44"/>
          <w:szCs w:val="44"/>
        </w:rPr>
      </w:pPr>
      <w:r>
        <w:rPr>
          <w:rFonts w:hint="eastAsia" w:ascii="宋体" w:hAnsi="宋体"/>
          <w:b/>
          <w:sz w:val="44"/>
          <w:szCs w:val="44"/>
        </w:rPr>
        <w:t>浮山县卫生局卫生监督所</w:t>
      </w:r>
    </w:p>
    <w:p w14:paraId="093935F6">
      <w:pPr>
        <w:spacing w:line="600" w:lineRule="exact"/>
        <w:jc w:val="center"/>
        <w:rPr>
          <w:rFonts w:ascii="宋体"/>
          <w:b/>
          <w:sz w:val="44"/>
          <w:szCs w:val="44"/>
        </w:rPr>
      </w:pPr>
      <w:r>
        <w:rPr>
          <w:rFonts w:hint="eastAsia" w:ascii="宋体" w:hAnsi="宋体"/>
          <w:b/>
          <w:sz w:val="44"/>
          <w:szCs w:val="44"/>
        </w:rPr>
        <w:t>2019年度部门预算信息公开</w:t>
      </w:r>
    </w:p>
    <w:p w14:paraId="156BD144">
      <w:pPr>
        <w:spacing w:line="600" w:lineRule="exact"/>
        <w:ind w:firstLine="640" w:firstLineChars="200"/>
        <w:rPr>
          <w:rFonts w:ascii="仿宋_GB2312" w:eastAsia="仿宋_GB2312"/>
          <w:sz w:val="32"/>
          <w:szCs w:val="32"/>
        </w:rPr>
      </w:pPr>
    </w:p>
    <w:p w14:paraId="0C265887">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14:paraId="2B311F23">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一、基本情况(包括机构设置情况）</w:t>
      </w:r>
    </w:p>
    <w:p w14:paraId="148605C2">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卫生局卫生监督所是浮山县卫生局依法在全县行使卫生监督执法职能的执法机构，全额事业单位，定编38人，现在职33人。内设一室五科（办公室、监督一科、监督二科、信息科、公共卫生协管服务科和稽查科）。具体承担公共卫生、医疗执业的卫生监督。</w:t>
      </w:r>
    </w:p>
    <w:p w14:paraId="6C91BDDF">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二、主要职能</w:t>
      </w:r>
    </w:p>
    <w:p w14:paraId="7B83D097">
      <w:pPr>
        <w:spacing w:line="600" w:lineRule="exact"/>
        <w:ind w:firstLine="640" w:firstLineChars="200"/>
        <w:rPr>
          <w:rFonts w:ascii="仿宋_GB2312" w:eastAsia="仿宋_GB2312"/>
          <w:sz w:val="32"/>
          <w:szCs w:val="32"/>
        </w:rPr>
      </w:pPr>
      <w:r>
        <w:rPr>
          <w:rFonts w:hint="eastAsia" w:ascii="仿宋_GB2312" w:eastAsia="仿宋_GB2312"/>
          <w:sz w:val="32"/>
          <w:szCs w:val="32"/>
        </w:rPr>
        <w:t>1、负责法律、法规规定的各类卫生许可和执业许可的申请受理、初审、现场审查、上报、批准后证书发放注册、检验等具体工作；</w:t>
      </w:r>
    </w:p>
    <w:p w14:paraId="10726FAD">
      <w:pPr>
        <w:spacing w:line="600" w:lineRule="exact"/>
        <w:ind w:firstLine="640" w:firstLineChars="200"/>
        <w:rPr>
          <w:rFonts w:ascii="仿宋_GB2312" w:eastAsia="仿宋_GB2312"/>
          <w:sz w:val="32"/>
          <w:szCs w:val="32"/>
        </w:rPr>
      </w:pPr>
      <w:r>
        <w:rPr>
          <w:rFonts w:hint="eastAsia" w:ascii="仿宋_GB2312" w:eastAsia="仿宋_GB2312"/>
          <w:sz w:val="32"/>
          <w:szCs w:val="32"/>
        </w:rPr>
        <w:t>2、负责辖区内医疗卫生机构、个体诊所和采供血机构的卫生监督工作；</w:t>
      </w:r>
    </w:p>
    <w:p w14:paraId="61A89DC0">
      <w:pPr>
        <w:spacing w:line="600" w:lineRule="exact"/>
        <w:ind w:firstLine="640" w:firstLineChars="200"/>
        <w:rPr>
          <w:rFonts w:ascii="仿宋_GB2312" w:eastAsia="仿宋_GB2312"/>
          <w:sz w:val="32"/>
          <w:szCs w:val="32"/>
        </w:rPr>
      </w:pPr>
      <w:r>
        <w:rPr>
          <w:rFonts w:hint="eastAsia" w:ascii="仿宋_GB2312" w:eastAsia="仿宋_GB2312"/>
          <w:sz w:val="32"/>
          <w:szCs w:val="32"/>
        </w:rPr>
        <w:t>3、负责全县食品安全综合监督、环境卫生（公共场所、生活饮用水）、学校卫生、职业卫生、放射卫生、传染病防治、消毒及其他健康相关产品等的卫生管理工作；</w:t>
      </w:r>
    </w:p>
    <w:p w14:paraId="49FD0985">
      <w:pPr>
        <w:spacing w:line="600" w:lineRule="exact"/>
        <w:ind w:firstLine="640" w:firstLineChars="200"/>
        <w:rPr>
          <w:rFonts w:ascii="仿宋_GB2312" w:eastAsia="仿宋_GB2312"/>
          <w:sz w:val="32"/>
          <w:szCs w:val="32"/>
        </w:rPr>
      </w:pPr>
      <w:r>
        <w:rPr>
          <w:rFonts w:hint="eastAsia" w:ascii="仿宋_GB2312" w:eastAsia="仿宋_GB2312"/>
          <w:sz w:val="32"/>
          <w:szCs w:val="32"/>
        </w:rPr>
        <w:t>4、负责对新建、改建、扩建工程的选址、设计进行卫生审查和竣工验收；</w:t>
      </w:r>
    </w:p>
    <w:p w14:paraId="763CFB5C">
      <w:pPr>
        <w:spacing w:line="600" w:lineRule="exact"/>
        <w:ind w:firstLine="640" w:firstLineChars="200"/>
        <w:rPr>
          <w:rFonts w:ascii="仿宋_GB2312" w:eastAsia="仿宋_GB2312"/>
          <w:sz w:val="32"/>
          <w:szCs w:val="32"/>
        </w:rPr>
      </w:pPr>
      <w:r>
        <w:rPr>
          <w:rFonts w:hint="eastAsia" w:ascii="仿宋_GB2312" w:eastAsia="仿宋_GB2312"/>
          <w:sz w:val="32"/>
          <w:szCs w:val="32"/>
        </w:rPr>
        <w:t xml:space="preserve">5、负责监管各类从业人员健康检查和卫生知识培训； </w:t>
      </w:r>
    </w:p>
    <w:p w14:paraId="71F2CE30">
      <w:pPr>
        <w:spacing w:line="600" w:lineRule="exact"/>
        <w:ind w:firstLine="640" w:firstLineChars="200"/>
        <w:rPr>
          <w:rFonts w:ascii="仿宋_GB2312" w:eastAsia="仿宋_GB2312"/>
          <w:sz w:val="32"/>
          <w:szCs w:val="32"/>
        </w:rPr>
      </w:pPr>
      <w:r>
        <w:rPr>
          <w:rFonts w:hint="eastAsia" w:ascii="仿宋_GB2312" w:eastAsia="仿宋_GB2312"/>
          <w:sz w:val="32"/>
          <w:szCs w:val="32"/>
        </w:rPr>
        <w:t>6、开展卫生监督执法检查；完成上级卫生行政部门下达的公共卫生、健康相关产品等抽检任务；</w:t>
      </w:r>
    </w:p>
    <w:p w14:paraId="02262622">
      <w:pPr>
        <w:spacing w:line="600" w:lineRule="exact"/>
        <w:ind w:firstLine="640" w:firstLineChars="200"/>
        <w:rPr>
          <w:rFonts w:ascii="仿宋_GB2312" w:eastAsia="仿宋_GB2312"/>
          <w:sz w:val="32"/>
          <w:szCs w:val="32"/>
        </w:rPr>
      </w:pPr>
      <w:r>
        <w:rPr>
          <w:rFonts w:hint="eastAsia" w:ascii="仿宋_GB2312" w:eastAsia="仿宋_GB2312"/>
          <w:sz w:val="32"/>
          <w:szCs w:val="32"/>
        </w:rPr>
        <w:t>7、承担现场监督监测、采样工作；</w:t>
      </w:r>
    </w:p>
    <w:p w14:paraId="7511EB04">
      <w:pPr>
        <w:spacing w:line="600" w:lineRule="exact"/>
        <w:ind w:firstLine="640" w:firstLineChars="200"/>
        <w:rPr>
          <w:rFonts w:ascii="仿宋_GB2312" w:eastAsia="仿宋_GB2312"/>
          <w:sz w:val="32"/>
          <w:szCs w:val="32"/>
        </w:rPr>
      </w:pPr>
      <w:r>
        <w:rPr>
          <w:rFonts w:hint="eastAsia" w:ascii="仿宋_GB2312" w:eastAsia="仿宋_GB2312"/>
          <w:sz w:val="32"/>
          <w:szCs w:val="32"/>
        </w:rPr>
        <w:t>8、定期向社会发布卫生监督信息，通报监督结果；</w:t>
      </w:r>
    </w:p>
    <w:p w14:paraId="1E459F1C">
      <w:pPr>
        <w:spacing w:line="600" w:lineRule="exact"/>
        <w:ind w:firstLine="640" w:firstLineChars="200"/>
        <w:rPr>
          <w:rFonts w:ascii="仿宋_GB2312" w:eastAsia="仿宋_GB2312"/>
          <w:sz w:val="32"/>
          <w:szCs w:val="32"/>
        </w:rPr>
      </w:pPr>
      <w:r>
        <w:rPr>
          <w:rFonts w:hint="eastAsia" w:ascii="仿宋_GB2312" w:eastAsia="仿宋_GB2312"/>
          <w:sz w:val="32"/>
          <w:szCs w:val="32"/>
        </w:rPr>
        <w:t>9、负责对卫生污染、中毒事故等重大、突发事件进行调查取证，采取必要的控制措施，提出处理意见；</w:t>
      </w:r>
    </w:p>
    <w:p w14:paraId="6D760D0E">
      <w:pPr>
        <w:spacing w:line="600" w:lineRule="exact"/>
        <w:ind w:firstLine="640" w:firstLineChars="200"/>
        <w:rPr>
          <w:rFonts w:ascii="仿宋_GB2312" w:eastAsia="仿宋_GB2312"/>
          <w:sz w:val="32"/>
          <w:szCs w:val="32"/>
        </w:rPr>
      </w:pPr>
      <w:r>
        <w:rPr>
          <w:rFonts w:hint="eastAsia" w:ascii="仿宋_GB2312" w:eastAsia="仿宋_GB2312"/>
          <w:sz w:val="32"/>
          <w:szCs w:val="32"/>
        </w:rPr>
        <w:t>10、负责重大卫生违法案件的受理、立案，开展调查取证，提出行政处罚建议和处理意见并执行行政处罚、行政控制等卫生监督执法过程中的具体事务；</w:t>
      </w:r>
    </w:p>
    <w:p w14:paraId="3C4EF858">
      <w:pPr>
        <w:spacing w:line="600" w:lineRule="exact"/>
        <w:ind w:firstLine="640" w:firstLineChars="200"/>
        <w:rPr>
          <w:rFonts w:ascii="仿宋_GB2312" w:eastAsia="仿宋_GB2312"/>
          <w:sz w:val="32"/>
          <w:szCs w:val="32"/>
        </w:rPr>
      </w:pPr>
      <w:r>
        <w:rPr>
          <w:rFonts w:hint="eastAsia" w:ascii="仿宋_GB2312" w:eastAsia="仿宋_GB2312"/>
          <w:sz w:val="32"/>
          <w:szCs w:val="32"/>
        </w:rPr>
        <w:t>11、负责卫生法</w:t>
      </w:r>
      <w:r>
        <w:rPr>
          <w:rFonts w:hint="eastAsia" w:ascii="仿宋_GB2312" w:eastAsia="仿宋_GB2312"/>
          <w:sz w:val="32"/>
          <w:szCs w:val="32"/>
          <w:lang w:eastAsia="zh-CN"/>
        </w:rPr>
        <w:t>治</w:t>
      </w:r>
      <w:bookmarkStart w:id="0" w:name="_GoBack"/>
      <w:bookmarkEnd w:id="0"/>
      <w:r>
        <w:rPr>
          <w:rFonts w:hint="eastAsia" w:ascii="仿宋_GB2312" w:eastAsia="仿宋_GB2312"/>
          <w:sz w:val="32"/>
          <w:szCs w:val="32"/>
        </w:rPr>
        <w:t>宣传和对卫生监督员的法律、业务培训；  12、负责全县卫生监督信息的收集、整理、分析和报告；</w:t>
      </w:r>
    </w:p>
    <w:p w14:paraId="2B007BCA">
      <w:pPr>
        <w:spacing w:line="600" w:lineRule="exact"/>
        <w:ind w:firstLine="640" w:firstLineChars="200"/>
        <w:rPr>
          <w:rFonts w:ascii="仿宋_GB2312" w:eastAsia="仿宋_GB2312"/>
          <w:sz w:val="32"/>
          <w:szCs w:val="32"/>
        </w:rPr>
      </w:pPr>
      <w:r>
        <w:rPr>
          <w:rFonts w:hint="eastAsia" w:ascii="仿宋_GB2312" w:eastAsia="仿宋_GB2312"/>
          <w:sz w:val="32"/>
          <w:szCs w:val="32"/>
        </w:rPr>
        <w:t>13、负责受理对卫生监督执法工作中的投诉、举报案件，依法查处、现场调查取证，依法进行卫生监督稽查工作；</w:t>
      </w:r>
    </w:p>
    <w:p w14:paraId="1DF885AD">
      <w:pPr>
        <w:spacing w:line="600" w:lineRule="exact"/>
        <w:ind w:firstLine="640" w:firstLineChars="200"/>
        <w:rPr>
          <w:rFonts w:ascii="仿宋_GB2312" w:eastAsia="仿宋_GB2312"/>
          <w:sz w:val="32"/>
          <w:szCs w:val="32"/>
        </w:rPr>
      </w:pPr>
      <w:r>
        <w:rPr>
          <w:rFonts w:hint="eastAsia" w:ascii="仿宋_GB2312" w:eastAsia="仿宋_GB2312"/>
          <w:sz w:val="32"/>
          <w:szCs w:val="32"/>
        </w:rPr>
        <w:t>14、组织实施全县卫生监督工作计划，对科室的监督执法工作进行检查考核；</w:t>
      </w:r>
    </w:p>
    <w:p w14:paraId="2E2458A8">
      <w:pPr>
        <w:spacing w:line="600" w:lineRule="exact"/>
        <w:ind w:firstLine="640" w:firstLineChars="200"/>
        <w:rPr>
          <w:rFonts w:ascii="仿宋_GB2312" w:eastAsia="仿宋_GB2312"/>
          <w:sz w:val="32"/>
          <w:szCs w:val="32"/>
        </w:rPr>
      </w:pPr>
      <w:r>
        <w:rPr>
          <w:rFonts w:hint="eastAsia" w:ascii="仿宋_GB2312" w:eastAsia="仿宋_GB2312"/>
          <w:sz w:val="32"/>
          <w:szCs w:val="32"/>
        </w:rPr>
        <w:t>15、承担基本公共卫生服务公共卫生事件应急处置、食品安全信息报告、职业卫生咨询指导、生活饮用水安全巡查、学校卫生服务、非法行医和采供血机构信息报告、公共场所卫生服务的卫生监督协管职责，负责对各乡镇卫生院、村卫生所指导、督导、检查、考核等工作。</w:t>
      </w:r>
    </w:p>
    <w:p w14:paraId="38ED52F0">
      <w:pPr>
        <w:spacing w:line="600" w:lineRule="exact"/>
        <w:ind w:firstLine="640" w:firstLineChars="200"/>
        <w:rPr>
          <w:rFonts w:ascii="仿宋_GB2312" w:eastAsia="仿宋_GB2312"/>
          <w:sz w:val="32"/>
          <w:szCs w:val="32"/>
        </w:rPr>
      </w:pPr>
      <w:r>
        <w:rPr>
          <w:rFonts w:hint="eastAsia" w:ascii="仿宋_GB2312" w:eastAsia="仿宋_GB2312"/>
          <w:sz w:val="32"/>
          <w:szCs w:val="32"/>
        </w:rPr>
        <w:t>16、承担县卫生局和上级指定或交办的其它卫生监督任务。</w:t>
      </w:r>
    </w:p>
    <w:p w14:paraId="670DEEC3">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rPr>
        <w:t>2019年度部门预算报表</w:t>
      </w:r>
    </w:p>
    <w:p w14:paraId="2EA73BE5">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一、浮山县卫生局卫生监督所2019年预算收支总表</w:t>
      </w:r>
    </w:p>
    <w:p w14:paraId="5926419A">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二、浮山县卫生局卫生监督所2019年预算收入总表</w:t>
      </w:r>
    </w:p>
    <w:p w14:paraId="41AAE460">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三、浮山县卫生局卫生监督所2019年预算支出总表</w:t>
      </w:r>
    </w:p>
    <w:p w14:paraId="7489076B">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四、浮山县卫生局卫生监督所2019年财政拨款收支总表</w:t>
      </w:r>
    </w:p>
    <w:p w14:paraId="7C9B039A">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五、浮山县卫生局卫生监督所2019年一般公共预算支出预算表</w:t>
      </w:r>
    </w:p>
    <w:p w14:paraId="4FB928D7">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六、浮山县卫生局卫生监督所2019年一般公共预算安排基本支出分经济科目表</w:t>
      </w:r>
    </w:p>
    <w:p w14:paraId="0451CED9">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七、浮山县卫生局卫生监督所2019年政府性基金预算收入预算表</w:t>
      </w:r>
    </w:p>
    <w:p w14:paraId="79D4D939">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八、浮山县卫生局卫生监督所2019年政府性基金预算支出预算表</w:t>
      </w:r>
    </w:p>
    <w:p w14:paraId="170E48A3">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九、浮山县卫生局卫生监督所2019年“三公”经费预算财政拨款情况统计表</w:t>
      </w:r>
    </w:p>
    <w:p w14:paraId="4028F223">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十、浮山县卫生局卫生监督所2019年机关运行经费预算财政拨款情况统计表</w:t>
      </w:r>
    </w:p>
    <w:p w14:paraId="3FAE843F">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rPr>
        <w:t>2019年度部门预算情况说明</w:t>
      </w:r>
    </w:p>
    <w:p w14:paraId="264E93B9">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一、2019年度部门预算数据变动情况及原因</w:t>
      </w:r>
    </w:p>
    <w:p w14:paraId="79681F3E">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卫生局卫生监督所2019年部门预算313.09万元，比2018年预算减少26.14万元。其中：工资福利支出比2018年减少了29.54万元，减少原因为较上年在职人数减少。商品和服务支出比2018年减少了0.63万元，减少原因为在职职工人数小于上年，工会经费以及职工福利费减少。对个人和家庭补助支出比2018年增加了4.03万元。</w:t>
      </w:r>
    </w:p>
    <w:p w14:paraId="24848131">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14:paraId="412D0E6A">
      <w:pPr>
        <w:spacing w:line="600" w:lineRule="exact"/>
        <w:ind w:firstLine="640" w:firstLineChars="200"/>
        <w:rPr>
          <w:rFonts w:ascii="仿宋_GB2312" w:eastAsia="仿宋_GB2312"/>
          <w:sz w:val="32"/>
          <w:szCs w:val="32"/>
        </w:rPr>
      </w:pPr>
      <w:r>
        <w:rPr>
          <w:rFonts w:hint="eastAsia" w:ascii="仿宋_GB2312" w:eastAsia="仿宋_GB2312"/>
          <w:sz w:val="32"/>
          <w:szCs w:val="32"/>
        </w:rPr>
        <w:t>2019年一般公共预算安排的“三公”经费预算7.5万元，比2018年增加1.77万元。其中：因公出国（境）费用</w:t>
      </w:r>
      <w:r>
        <w:rPr>
          <w:rFonts w:ascii="仿宋_GB2312" w:eastAsia="仿宋_GB2312"/>
          <w:sz w:val="32"/>
          <w:szCs w:val="32"/>
        </w:rPr>
        <w:t>0</w:t>
      </w:r>
      <w:r>
        <w:rPr>
          <w:rFonts w:hint="eastAsia" w:ascii="仿宋_GB2312" w:eastAsia="仿宋_GB2312"/>
          <w:sz w:val="32"/>
          <w:szCs w:val="32"/>
        </w:rPr>
        <w:t>万元，比上年无变化；公务接待费0万元，比上年无变化，公务用车运行维护费7.5万元，比上年增加1.77万元,原因是2019年全县公共协管服务要达到100%覆盖率，下乡业务量增加；公务用车购置费</w:t>
      </w:r>
      <w:r>
        <w:rPr>
          <w:rFonts w:ascii="仿宋_GB2312" w:eastAsia="仿宋_GB2312"/>
          <w:sz w:val="32"/>
          <w:szCs w:val="32"/>
        </w:rPr>
        <w:t>0</w:t>
      </w:r>
      <w:r>
        <w:rPr>
          <w:rFonts w:hint="eastAsia" w:ascii="仿宋_GB2312" w:eastAsia="仿宋_GB2312"/>
          <w:sz w:val="32"/>
          <w:szCs w:val="32"/>
        </w:rPr>
        <w:t>元，比上年无变化。</w:t>
      </w:r>
    </w:p>
    <w:p w14:paraId="397D452D">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14:paraId="75F268D1">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浮山县卫生局卫生监督所2019年运行经费财政拨款预算13.27万元，相比2018年预算无增减变化。</w:t>
      </w:r>
    </w:p>
    <w:p w14:paraId="40EC0216">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14:paraId="59D5E290">
      <w:pPr>
        <w:spacing w:line="600" w:lineRule="exact"/>
        <w:ind w:firstLine="640" w:firstLineChars="200"/>
        <w:rPr>
          <w:rFonts w:ascii="仿宋_GB2312" w:eastAsia="仿宋_GB2312"/>
          <w:sz w:val="32"/>
          <w:szCs w:val="32"/>
        </w:rPr>
      </w:pPr>
      <w:r>
        <w:rPr>
          <w:rFonts w:hint="eastAsia" w:ascii="仿宋_GB2312" w:eastAsia="仿宋_GB2312"/>
          <w:sz w:val="32"/>
          <w:szCs w:val="32"/>
        </w:rPr>
        <w:t>2019年浮山县卫生局卫生监督所政府采购预算总额10.5万元，其中：政府采购货物预算10.5万元、政府采购工程预算0万元、政府采购服务预算0万元。</w:t>
      </w:r>
    </w:p>
    <w:p w14:paraId="62E31FCB">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14:paraId="3DF570E0">
      <w:pPr>
        <w:spacing w:line="600" w:lineRule="exact"/>
        <w:ind w:firstLine="640" w:firstLineChars="200"/>
        <w:rPr>
          <w:rFonts w:ascii="仿宋_GB2312" w:eastAsia="仿宋_GB2312"/>
          <w:sz w:val="32"/>
          <w:szCs w:val="32"/>
        </w:rPr>
      </w:pPr>
      <w:r>
        <w:rPr>
          <w:rFonts w:hint="eastAsia" w:ascii="仿宋_GB2312" w:eastAsia="仿宋_GB2312"/>
          <w:sz w:val="32"/>
          <w:szCs w:val="32"/>
        </w:rPr>
        <w:t>截止到2018年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日，本单位固定资产年末数984.6万元。本单位共有车辆3辆，其中一般公务用车0辆，单位价值</w:t>
      </w:r>
      <w:r>
        <w:rPr>
          <w:rFonts w:ascii="仿宋_GB2312" w:eastAsia="仿宋_GB2312"/>
          <w:sz w:val="32"/>
          <w:szCs w:val="32"/>
        </w:rPr>
        <w:t>50</w:t>
      </w:r>
      <w:r>
        <w:rPr>
          <w:rFonts w:hint="eastAsia" w:ascii="仿宋_GB2312" w:eastAsia="仿宋_GB2312"/>
          <w:sz w:val="32"/>
          <w:szCs w:val="32"/>
        </w:rPr>
        <w:t>万元以上的通用设备0台，单位价值</w:t>
      </w:r>
      <w:r>
        <w:rPr>
          <w:rFonts w:ascii="仿宋_GB2312" w:eastAsia="仿宋_GB2312"/>
          <w:sz w:val="32"/>
          <w:szCs w:val="32"/>
        </w:rPr>
        <w:t>100</w:t>
      </w:r>
      <w:r>
        <w:rPr>
          <w:rFonts w:hint="eastAsia" w:ascii="仿宋_GB2312" w:eastAsia="仿宋_GB2312"/>
          <w:sz w:val="32"/>
          <w:szCs w:val="32"/>
        </w:rPr>
        <w:t>万元以上的专用设备0台。</w:t>
      </w:r>
    </w:p>
    <w:p w14:paraId="7FAF3A6E">
      <w:pPr>
        <w:spacing w:line="600" w:lineRule="exact"/>
        <w:ind w:firstLine="640" w:firstLineChars="200"/>
        <w:rPr>
          <w:rFonts w:ascii="仿宋_GB2312" w:eastAsia="仿宋_GB2312"/>
          <w:sz w:val="32"/>
          <w:szCs w:val="32"/>
        </w:rPr>
      </w:pPr>
      <w:r>
        <w:rPr>
          <w:rFonts w:hint="eastAsia" w:ascii="仿宋_GB2312" w:eastAsia="仿宋_GB2312"/>
          <w:sz w:val="32"/>
          <w:szCs w:val="32"/>
        </w:rPr>
        <w:t>六、绩效管理情况</w:t>
      </w:r>
    </w:p>
    <w:p w14:paraId="6C527333">
      <w:pPr>
        <w:spacing w:line="600" w:lineRule="exact"/>
        <w:ind w:firstLine="640" w:firstLineChars="200"/>
        <w:rPr>
          <w:rFonts w:ascii="仿宋_GB2312" w:eastAsia="仿宋_GB2312"/>
          <w:sz w:val="32"/>
          <w:szCs w:val="32"/>
        </w:rPr>
      </w:pPr>
      <w:r>
        <w:rPr>
          <w:rFonts w:hint="eastAsia" w:ascii="仿宋_GB2312" w:eastAsia="仿宋_GB2312"/>
          <w:sz w:val="32"/>
          <w:szCs w:val="32"/>
        </w:rPr>
        <w:t xml:space="preserve">    2019年部门预算我单位无重点项目支出</w:t>
      </w:r>
    </w:p>
    <w:p w14:paraId="6B461C50">
      <w:pPr>
        <w:spacing w:line="600" w:lineRule="exact"/>
        <w:ind w:firstLine="640" w:firstLineChars="200"/>
        <w:rPr>
          <w:rFonts w:ascii="仿宋_GB2312" w:eastAsia="仿宋_GB2312"/>
          <w:sz w:val="32"/>
          <w:szCs w:val="32"/>
        </w:rPr>
      </w:pPr>
    </w:p>
    <w:p w14:paraId="19FB4D2B">
      <w:pPr>
        <w:spacing w:line="600" w:lineRule="exact"/>
        <w:ind w:firstLine="640" w:firstLineChars="200"/>
        <w:rPr>
          <w:rFonts w:ascii="仿宋_GB2312" w:eastAsia="仿宋_GB2312"/>
          <w:sz w:val="32"/>
          <w:szCs w:val="32"/>
        </w:rPr>
      </w:pPr>
    </w:p>
    <w:p w14:paraId="31F277C3">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14:paraId="41864B82">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14:paraId="0B56CF2B">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14:paraId="32BBF05D">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14:paraId="4B52A795">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14:paraId="4F664BCC">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14:paraId="0CEBA925">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14:paraId="6AC484D0">
      <w:pPr>
        <w:spacing w:line="600" w:lineRule="exact"/>
        <w:ind w:firstLine="640" w:firstLineChars="200"/>
        <w:rPr>
          <w:rFonts w:ascii="仿宋_GB2312" w:eastAsia="仿宋_GB2312"/>
          <w:sz w:val="32"/>
          <w:szCs w:val="32"/>
        </w:rPr>
      </w:pPr>
    </w:p>
    <w:p w14:paraId="20B8D628">
      <w:pPr>
        <w:spacing w:line="600" w:lineRule="exact"/>
        <w:ind w:firstLine="640" w:firstLineChars="200"/>
        <w:rPr>
          <w:rFonts w:ascii="仿宋_GB2312" w:eastAsia="仿宋_GB2312"/>
          <w:sz w:val="32"/>
          <w:szCs w:val="32"/>
        </w:rPr>
      </w:pPr>
    </w:p>
    <w:p w14:paraId="5F7EB0F1">
      <w:pPr>
        <w:spacing w:line="600" w:lineRule="exact"/>
        <w:ind w:firstLine="640" w:firstLineChars="200"/>
        <w:rPr>
          <w:rFonts w:ascii="仿宋_GB2312" w:eastAsia="仿宋_GB2312"/>
          <w:sz w:val="32"/>
          <w:szCs w:val="32"/>
        </w:rPr>
      </w:pPr>
    </w:p>
    <w:p w14:paraId="12BF5ED2">
      <w:pPr>
        <w:spacing w:line="600" w:lineRule="exact"/>
        <w:ind w:firstLine="640" w:firstLineChars="200"/>
        <w:rPr>
          <w:rFonts w:ascii="仿宋_GB2312" w:eastAsia="仿宋_GB2312"/>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B8C54">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4184C">
    <w:pPr>
      <w:pStyle w:val="3"/>
      <w:framePr w:w="2000" w:h="790" w:hRule="exact" w:wrap="around" w:vAnchor="text" w:hAnchor="page" w:x="1370" w:y="-189"/>
      <w:ind w:firstLine="280" w:firstLineChars="100"/>
      <w:rPr>
        <w:rStyle w:val="7"/>
        <w:rFonts w:ascii="宋体"/>
        <w:sz w:val="28"/>
        <w:szCs w:val="28"/>
      </w:rPr>
    </w:pPr>
    <w:r>
      <w:rPr>
        <w:rStyle w:val="7"/>
        <w:rFonts w:ascii="宋体" w:hAnsi="宋体"/>
        <w:sz w:val="28"/>
        <w:szCs w:val="28"/>
      </w:rPr>
      <w:t xml:space="preserve">— </w:t>
    </w: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18</w:t>
    </w:r>
    <w:r>
      <w:rPr>
        <w:rStyle w:val="7"/>
        <w:rFonts w:ascii="宋体" w:hAnsi="宋体"/>
        <w:sz w:val="28"/>
        <w:szCs w:val="28"/>
      </w:rPr>
      <w:fldChar w:fldCharType="end"/>
    </w:r>
    <w:r>
      <w:rPr>
        <w:rStyle w:val="7"/>
        <w:rFonts w:ascii="宋体" w:hAnsi="宋体"/>
        <w:sz w:val="28"/>
        <w:szCs w:val="28"/>
      </w:rPr>
      <w:t xml:space="preserve"> —</w:t>
    </w:r>
  </w:p>
  <w:p w14:paraId="3E6E6E30">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8CB09">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F9DE79">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8F3B9B">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D23BD">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5464"/>
    <w:rsid w:val="000079E0"/>
    <w:rsid w:val="000A3658"/>
    <w:rsid w:val="00120BF5"/>
    <w:rsid w:val="001423F1"/>
    <w:rsid w:val="001E360E"/>
    <w:rsid w:val="00211784"/>
    <w:rsid w:val="00246095"/>
    <w:rsid w:val="0026206B"/>
    <w:rsid w:val="002650F6"/>
    <w:rsid w:val="002D7777"/>
    <w:rsid w:val="00393481"/>
    <w:rsid w:val="003C515A"/>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A866B7"/>
    <w:rsid w:val="00BF0F06"/>
    <w:rsid w:val="00C70C63"/>
    <w:rsid w:val="00D40A95"/>
    <w:rsid w:val="00DA082B"/>
    <w:rsid w:val="00DE4ED7"/>
    <w:rsid w:val="00E70831"/>
    <w:rsid w:val="00E9254E"/>
    <w:rsid w:val="00F76463"/>
    <w:rsid w:val="00FA4F16"/>
    <w:rsid w:val="04220D7B"/>
    <w:rsid w:val="088E0DB5"/>
    <w:rsid w:val="0E0A19CE"/>
    <w:rsid w:val="2425476E"/>
    <w:rsid w:val="3D2F7C22"/>
    <w:rsid w:val="62CF3634"/>
    <w:rsid w:val="63FB1F6D"/>
    <w:rsid w:val="6B512036"/>
    <w:rsid w:val="6CFE0545"/>
    <w:rsid w:val="6E835D65"/>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0" w:name="Normal Indent" w:locked="1"/>
    <w:lsdException w:uiPriority="0" w:name="footnote text" w:locked="1"/>
    <w:lsdException w:uiPriority="0" w:name="annotation text" w:locked="1"/>
    <w:lsdException w:qFormat="1" w:unhideWhenUsed="0" w:uiPriority="99" w:semiHidden="0" w:name="header"/>
    <w:lsdException w:qFormat="1" w:unhideWhenUsed="0" w:uiPriority="99" w:semiHidden="0" w:name="footer"/>
    <w:lsdException w:uiPriority="0" w:name="index heading" w:locked="1"/>
    <w:lsdException w:qFormat="1" w:uiPriority="35" w:name="caption" w:locked="1"/>
    <w:lsdException w:uiPriority="0" w:name="table of figures" w:locked="1"/>
    <w:lsdException w:uiPriority="0" w:name="envelope address" w:locked="1"/>
    <w:lsdException w:uiPriority="0" w:name="envelope return" w:locked="1"/>
    <w:lsdException w:uiPriority="0" w:name="footnote reference" w:locked="1"/>
    <w:lsdException w:uiPriority="0" w:name="annotation reference" w:locked="1"/>
    <w:lsdException w:uiPriority="0" w:name="line number" w:locked="1"/>
    <w:lsdException w:qFormat="1" w:unhideWhenUsed="0" w:uiPriority="99" w:semiHidden="0" w:name="page number"/>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iPriority="0" w:name="List" w:locked="1"/>
    <w:lsdException w:uiPriority="0" w:name="List Bullet" w:locked="1"/>
    <w:lsdException w:uiPriority="0" w:name="List Number" w:locked="1"/>
    <w:lsdException w:uiPriority="0" w:name="List 2" w:locked="1"/>
    <w:lsdException w:uiPriority="0" w:name="List 3" w:locked="1"/>
    <w:lsdException w:uiPriority="0" w:name="List 4" w:locked="1"/>
    <w:lsdException w:uiPriority="0" w:name="List 5" w:locked="1"/>
    <w:lsdException w:uiPriority="0" w:name="List Bullet 2" w:locked="1"/>
    <w:lsdException w:uiPriority="0" w:name="List Bullet 3" w:locked="1"/>
    <w:lsdException w:uiPriority="0" w:name="List Bullet 4" w:locked="1"/>
    <w:lsdException w:uiPriority="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10" w:semiHidden="0" w:name="Title" w:locked="1"/>
    <w:lsdException w:uiPriority="0" w:name="Closing" w:locked="1"/>
    <w:lsdException w:uiPriority="0" w:name="Signature" w:locked="1"/>
    <w:lsdException w:uiPriority="1" w:semiHidden="0" w:name="Default Paragraph Font"/>
    <w:lsdException w:uiPriority="0" w:name="Body Text" w:locked="1"/>
    <w:lsdException w:uiPriority="0" w:name="Body Text Indent" w:locked="1"/>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11" w:semiHidden="0" w:name="Subtitle" w:locked="1"/>
    <w:lsdException w:uiPriority="0" w:name="Salutation" w:locked="1"/>
    <w:lsdException w:uiPriority="0" w:name="Date" w:locked="1"/>
    <w:lsdException w:uiPriority="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uiPriority="0" w:name="Hyperlink" w:locked="1"/>
    <w:lsdException w:uiPriority="0" w:name="FollowedHyperlink" w:locked="1"/>
    <w:lsdException w:qFormat="1" w:unhideWhenUsed="0" w:uiPriority="22" w:semiHidden="0" w:name="Strong" w:locked="1"/>
    <w:lsdException w:qFormat="1" w:unhideWhenUsed="0" w:uiPriority="20" w:semiHidden="0" w:name="Emphasis" w:locked="1"/>
    <w:lsdException w:uiPriority="0" w:name="Document Map" w:locked="1"/>
    <w:lsdException w:uiPriority="0" w:name="Plain Text" w:locked="1"/>
    <w:lsdException w:uiPriority="0" w:name="E-mail Signature" w:locked="1"/>
    <w:lsdException w:uiPriority="0" w:name="Normal (Web)" w:locked="1"/>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semiHidden="0" w:name="Normal Table"/>
    <w:lsdException w:uiPriority="0" w:name="annotation subject" w:locked="1"/>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99" w:name="Balloon Text" w:locked="1"/>
    <w:lsdException w:unhideWhenUsed="0" w:uiPriority="59" w:semiHidden="0" w:name="Table Grid" w:locked="1"/>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批注框文本 Char"/>
    <w:basedOn w:val="6"/>
    <w:link w:val="2"/>
    <w:semiHidden/>
    <w:qFormat/>
    <w:locked/>
    <w:uiPriority w:val="99"/>
    <w:rPr>
      <w:rFonts w:cs="Times New Roman"/>
      <w:sz w:val="2"/>
    </w:rPr>
  </w:style>
  <w:style w:type="character" w:customStyle="1" w:styleId="10">
    <w:name w:val="页脚 Char"/>
    <w:basedOn w:val="6"/>
    <w:link w:val="3"/>
    <w:semiHidden/>
    <w:qFormat/>
    <w:locked/>
    <w:uiPriority w:val="99"/>
    <w:rPr>
      <w:rFonts w:cs="Times New Roman"/>
      <w:sz w:val="18"/>
      <w:szCs w:val="18"/>
    </w:rPr>
  </w:style>
  <w:style w:type="character" w:customStyle="1" w:styleId="11">
    <w:name w:val="页眉 Char"/>
    <w:basedOn w:val="6"/>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2075</Words>
  <Characters>2216</Characters>
  <Lines>1</Lines>
  <Paragraphs>4</Paragraphs>
  <TotalTime>0</TotalTime>
  <ScaleCrop>false</ScaleCrop>
  <LinksUpToDate>false</LinksUpToDate>
  <CharactersWithSpaces>2231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易巧</cp:lastModifiedBy>
  <cp:lastPrinted>2018-05-21T07:36:00Z</cp:lastPrinted>
  <dcterms:modified xsi:type="dcterms:W3CDTF">2025-02-21T02:19:29Z</dcterms:modified>
  <dc:title>浮财预〔2018〕86号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eyJoZGlkIjoiOTA1Mjg3ZmMzMGU1YzVkMTFiMGU3Mzc0MmE1Mjc1MDYiLCJ1c2VySWQiOiI5NzU5Mjk5MzMifQ==</vt:lpwstr>
  </property>
  <property fmtid="{D5CDD505-2E9C-101B-9397-08002B2CF9AE}" pid="4" name="ICV">
    <vt:lpwstr>17C111ED4AD74D7C96E95BCED61C8900_12</vt:lpwstr>
  </property>
</Properties>
</file>