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hAnsi="宋体"/>
          <w:b/>
          <w:sz w:val="44"/>
          <w:szCs w:val="44"/>
          <w:lang w:eastAsia="zh-CN"/>
        </w:rPr>
      </w:pPr>
      <w:r>
        <w:rPr>
          <w:rFonts w:hint="eastAsia" w:ascii="宋体" w:hAnsi="宋体"/>
          <w:b/>
          <w:sz w:val="44"/>
          <w:szCs w:val="44"/>
        </w:rPr>
        <w:t>浮山县</w:t>
      </w:r>
      <w:r>
        <w:rPr>
          <w:rFonts w:hint="eastAsia" w:ascii="宋体" w:hAnsi="宋体"/>
          <w:b/>
          <w:sz w:val="44"/>
          <w:szCs w:val="44"/>
          <w:lang w:eastAsia="zh-CN"/>
        </w:rPr>
        <w:t>供销合作社联合社</w:t>
      </w:r>
    </w:p>
    <w:p>
      <w:pPr>
        <w:spacing w:line="600" w:lineRule="exact"/>
        <w:jc w:val="center"/>
        <w:rPr>
          <w:rFonts w:hint="eastAsia" w:ascii="宋体" w:eastAsia="宋体"/>
          <w:b/>
          <w:sz w:val="44"/>
          <w:szCs w:val="44"/>
          <w:lang w:eastAsia="zh-CN"/>
        </w:rPr>
      </w:pPr>
      <w:r>
        <w:rPr>
          <w:rFonts w:hint="eastAsia" w:ascii="宋体" w:hAnsi="宋体"/>
          <w:b/>
          <w:sz w:val="44"/>
          <w:szCs w:val="44"/>
          <w:lang w:eastAsia="zh-CN"/>
        </w:rPr>
        <w:t>2019</w:t>
      </w:r>
      <w:r>
        <w:rPr>
          <w:rFonts w:hint="eastAsia" w:ascii="宋体" w:hAnsi="宋体"/>
          <w:b/>
          <w:sz w:val="44"/>
          <w:szCs w:val="44"/>
        </w:rPr>
        <w:t>年度部门预算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widowControl w:val="0"/>
        <w:wordWrap/>
        <w:adjustRightInd/>
        <w:snapToGrid/>
        <w:spacing w:line="600" w:lineRule="exact"/>
        <w:ind w:firstLine="643" w:firstLineChars="200"/>
        <w:textAlignment w:val="auto"/>
        <w:rPr>
          <w:rFonts w:hint="eastAsia" w:ascii="仿宋_GB2312" w:eastAsia="仿宋_GB2312"/>
          <w:b/>
          <w:sz w:val="32"/>
          <w:szCs w:val="32"/>
          <w:lang w:val="en-US" w:eastAsia="zh-CN"/>
        </w:rPr>
      </w:pPr>
      <w:r>
        <w:rPr>
          <w:rFonts w:hint="eastAsia" w:ascii="仿宋_GB2312" w:eastAsia="仿宋_GB2312"/>
          <w:b/>
          <w:sz w:val="32"/>
          <w:szCs w:val="32"/>
        </w:rPr>
        <w:t>一、基本情况</w:t>
      </w:r>
      <w:r>
        <w:rPr>
          <w:rFonts w:hint="eastAsia" w:ascii="仿宋_GB2312" w:eastAsia="仿宋_GB2312"/>
          <w:b/>
          <w:sz w:val="32"/>
          <w:szCs w:val="32"/>
          <w:lang w:val="en-US" w:eastAsia="zh-CN"/>
        </w:rPr>
        <w:t>(包括机构设置情况）</w:t>
      </w:r>
    </w:p>
    <w:p>
      <w:pPr>
        <w:widowControl w:val="0"/>
        <w:wordWrap/>
        <w:adjustRightInd/>
        <w:snapToGrid/>
        <w:spacing w:line="600" w:lineRule="exact"/>
        <w:ind w:firstLine="627"/>
        <w:textAlignment w:val="auto"/>
        <w:rPr>
          <w:rFonts w:hint="eastAsia" w:ascii="宋体" w:hAnsi="宋体" w:eastAsia="宋体" w:cs="宋体"/>
          <w:b w:val="0"/>
          <w:bCs w:val="0"/>
          <w:color w:val="000000"/>
          <w:spacing w:val="11"/>
          <w:sz w:val="32"/>
          <w:szCs w:val="32"/>
          <w:lang w:eastAsia="zh-CN"/>
        </w:rPr>
      </w:pPr>
      <w:r>
        <w:rPr>
          <w:rFonts w:hint="eastAsia" w:ascii="宋体" w:hAnsi="宋体" w:eastAsia="宋体" w:cs="宋体"/>
          <w:b w:val="0"/>
          <w:bCs w:val="0"/>
          <w:color w:val="000000"/>
          <w:sz w:val="32"/>
          <w:szCs w:val="32"/>
          <w:lang w:val="en-US" w:eastAsia="zh-CN"/>
        </w:rPr>
        <w:t xml:space="preserve"> </w:t>
      </w:r>
      <w:r>
        <w:rPr>
          <w:rFonts w:hint="eastAsia" w:ascii="宋体" w:hAnsi="宋体" w:eastAsia="宋体" w:cs="宋体"/>
          <w:b w:val="0"/>
          <w:bCs w:val="0"/>
          <w:color w:val="000000"/>
          <w:spacing w:val="11"/>
          <w:sz w:val="32"/>
          <w:szCs w:val="32"/>
        </w:rPr>
        <w:t>浮山县</w:t>
      </w:r>
      <w:r>
        <w:rPr>
          <w:rFonts w:hint="eastAsia" w:ascii="宋体" w:hAnsi="宋体" w:eastAsia="宋体" w:cs="宋体"/>
          <w:b w:val="0"/>
          <w:bCs w:val="0"/>
          <w:spacing w:val="11"/>
          <w:sz w:val="32"/>
          <w:szCs w:val="32"/>
          <w:lang w:eastAsia="zh-CN"/>
        </w:rPr>
        <w:t>供销合作社联合社</w:t>
      </w:r>
      <w:r>
        <w:rPr>
          <w:rFonts w:hint="eastAsia" w:ascii="宋体" w:hAnsi="宋体" w:eastAsia="宋体" w:cs="宋体"/>
          <w:b w:val="0"/>
          <w:bCs w:val="0"/>
          <w:color w:val="000000"/>
          <w:spacing w:val="11"/>
          <w:sz w:val="32"/>
          <w:szCs w:val="32"/>
        </w:rPr>
        <w:t>为县政府直属</w:t>
      </w:r>
      <w:r>
        <w:rPr>
          <w:rFonts w:hint="eastAsia" w:ascii="宋体" w:hAnsi="宋体" w:eastAsia="宋体" w:cs="宋体"/>
          <w:b w:val="0"/>
          <w:bCs w:val="0"/>
          <w:color w:val="000000"/>
          <w:spacing w:val="11"/>
          <w:sz w:val="32"/>
          <w:szCs w:val="32"/>
          <w:lang w:eastAsia="zh-CN"/>
        </w:rPr>
        <w:t>事业</w:t>
      </w:r>
      <w:r>
        <w:rPr>
          <w:rFonts w:hint="eastAsia" w:ascii="宋体" w:hAnsi="宋体" w:eastAsia="宋体" w:cs="宋体"/>
          <w:b w:val="0"/>
          <w:bCs w:val="0"/>
          <w:color w:val="000000"/>
          <w:spacing w:val="11"/>
          <w:sz w:val="32"/>
          <w:szCs w:val="32"/>
        </w:rPr>
        <w:t>单位</w:t>
      </w:r>
      <w:r>
        <w:rPr>
          <w:rFonts w:hint="eastAsia" w:ascii="宋体" w:hAnsi="宋体" w:eastAsia="宋体" w:cs="宋体"/>
          <w:b w:val="0"/>
          <w:bCs w:val="0"/>
          <w:spacing w:val="11"/>
          <w:sz w:val="32"/>
          <w:szCs w:val="32"/>
        </w:rPr>
        <w:t>，</w:t>
      </w:r>
      <w:r>
        <w:rPr>
          <w:rFonts w:hint="eastAsia" w:ascii="宋体" w:hAnsi="宋体" w:eastAsia="宋体" w:cs="宋体"/>
          <w:b w:val="0"/>
          <w:bCs w:val="0"/>
          <w:color w:val="000000"/>
          <w:spacing w:val="11"/>
          <w:sz w:val="32"/>
          <w:szCs w:val="32"/>
          <w:shd w:val="clear" w:color="auto" w:fill="FFFFFF"/>
        </w:rPr>
        <w:t>位于浮山县</w:t>
      </w:r>
      <w:r>
        <w:rPr>
          <w:rFonts w:hint="eastAsia" w:ascii="宋体" w:hAnsi="宋体" w:eastAsia="宋体" w:cs="宋体"/>
          <w:b w:val="0"/>
          <w:bCs w:val="0"/>
          <w:color w:val="000000"/>
          <w:spacing w:val="11"/>
          <w:sz w:val="32"/>
          <w:szCs w:val="32"/>
          <w:shd w:val="clear" w:color="auto" w:fill="FFFFFF"/>
          <w:lang w:eastAsia="zh-CN"/>
        </w:rPr>
        <w:t>天坛西</w:t>
      </w:r>
      <w:r>
        <w:rPr>
          <w:rFonts w:hint="eastAsia" w:ascii="宋体" w:hAnsi="宋体" w:eastAsia="宋体" w:cs="宋体"/>
          <w:b w:val="0"/>
          <w:bCs w:val="0"/>
          <w:color w:val="000000"/>
          <w:spacing w:val="11"/>
          <w:sz w:val="32"/>
          <w:szCs w:val="32"/>
          <w:shd w:val="clear" w:color="auto" w:fill="FFFFFF"/>
        </w:rPr>
        <w:t>路</w:t>
      </w:r>
      <w:r>
        <w:rPr>
          <w:rFonts w:hint="eastAsia" w:ascii="宋体" w:hAnsi="宋体" w:eastAsia="宋体" w:cs="宋体"/>
          <w:b w:val="0"/>
          <w:bCs w:val="0"/>
          <w:color w:val="000000"/>
          <w:spacing w:val="11"/>
          <w:sz w:val="32"/>
          <w:szCs w:val="32"/>
          <w:lang w:val="en-US" w:eastAsia="zh-CN"/>
        </w:rPr>
        <w:t>60</w:t>
      </w:r>
      <w:r>
        <w:rPr>
          <w:rFonts w:hint="eastAsia" w:ascii="宋体" w:hAnsi="宋体" w:eastAsia="宋体" w:cs="宋体"/>
          <w:b w:val="0"/>
          <w:bCs w:val="0"/>
          <w:color w:val="000000"/>
          <w:spacing w:val="11"/>
          <w:sz w:val="32"/>
          <w:szCs w:val="32"/>
          <w:shd w:val="clear" w:color="auto" w:fill="FFFFFF"/>
        </w:rPr>
        <w:t>号</w:t>
      </w:r>
      <w:r>
        <w:rPr>
          <w:rFonts w:hint="eastAsia" w:ascii="宋体" w:hAnsi="宋体" w:eastAsia="宋体" w:cs="宋体"/>
          <w:b w:val="0"/>
          <w:bCs w:val="0"/>
          <w:color w:val="000000"/>
          <w:spacing w:val="11"/>
          <w:sz w:val="32"/>
          <w:szCs w:val="32"/>
          <w:shd w:val="clear" w:color="auto" w:fill="FFFFFF"/>
          <w:lang w:eastAsia="zh-CN"/>
        </w:rPr>
        <w:t>，</w:t>
      </w:r>
      <w:r>
        <w:rPr>
          <w:rFonts w:hint="eastAsia" w:ascii="宋体" w:hAnsi="宋体" w:eastAsia="宋体" w:cs="宋体"/>
          <w:b w:val="0"/>
          <w:bCs w:val="0"/>
          <w:color w:val="000000"/>
          <w:spacing w:val="11"/>
          <w:sz w:val="32"/>
          <w:szCs w:val="32"/>
        </w:rPr>
        <w:t>为全额拨款</w:t>
      </w:r>
      <w:r>
        <w:rPr>
          <w:rFonts w:hint="eastAsia" w:ascii="宋体" w:hAnsi="宋体" w:eastAsia="宋体" w:cs="宋体"/>
          <w:b w:val="0"/>
          <w:bCs w:val="0"/>
          <w:color w:val="000000"/>
          <w:spacing w:val="11"/>
          <w:sz w:val="32"/>
          <w:szCs w:val="32"/>
          <w:lang w:eastAsia="zh-CN"/>
        </w:rPr>
        <w:t>事业</w:t>
      </w:r>
      <w:r>
        <w:rPr>
          <w:rFonts w:hint="eastAsia" w:ascii="宋体" w:hAnsi="宋体" w:eastAsia="宋体" w:cs="宋体"/>
          <w:b w:val="0"/>
          <w:bCs w:val="0"/>
          <w:color w:val="000000"/>
          <w:spacing w:val="11"/>
          <w:sz w:val="32"/>
          <w:szCs w:val="32"/>
        </w:rPr>
        <w:t>单位</w:t>
      </w:r>
      <w:r>
        <w:rPr>
          <w:rFonts w:hint="eastAsia" w:ascii="宋体" w:hAnsi="宋体" w:eastAsia="宋体" w:cs="宋体"/>
          <w:b w:val="0"/>
          <w:bCs w:val="0"/>
          <w:color w:val="000000"/>
          <w:spacing w:val="11"/>
          <w:sz w:val="32"/>
          <w:szCs w:val="32"/>
          <w:lang w:eastAsia="zh-CN"/>
        </w:rPr>
        <w:t>。我社</w:t>
      </w:r>
      <w:r>
        <w:rPr>
          <w:rFonts w:hint="eastAsia" w:ascii="宋体" w:hAnsi="宋体" w:eastAsia="宋体" w:cs="宋体"/>
          <w:b w:val="0"/>
          <w:bCs w:val="0"/>
          <w:color w:val="000000"/>
          <w:spacing w:val="11"/>
          <w:sz w:val="32"/>
          <w:szCs w:val="32"/>
        </w:rPr>
        <w:t>人</w:t>
      </w:r>
      <w:r>
        <w:rPr>
          <w:rFonts w:hint="eastAsia" w:ascii="宋体" w:hAnsi="宋体" w:eastAsia="宋体" w:cs="宋体"/>
          <w:b w:val="0"/>
          <w:bCs w:val="0"/>
          <w:color w:val="000000"/>
          <w:spacing w:val="11"/>
          <w:sz w:val="32"/>
          <w:szCs w:val="32"/>
          <w:lang w:eastAsia="zh-CN"/>
        </w:rPr>
        <w:t>数总计</w:t>
      </w:r>
      <w:r>
        <w:rPr>
          <w:rFonts w:hint="eastAsia" w:ascii="宋体" w:hAnsi="宋体" w:eastAsia="宋体" w:cs="宋体"/>
          <w:b w:val="0"/>
          <w:bCs w:val="0"/>
          <w:color w:val="000000"/>
          <w:spacing w:val="11"/>
          <w:sz w:val="32"/>
          <w:szCs w:val="32"/>
          <w:lang w:val="en-US" w:eastAsia="zh-CN"/>
        </w:rPr>
        <w:t>30人</w:t>
      </w:r>
      <w:r>
        <w:rPr>
          <w:rFonts w:hint="eastAsia" w:ascii="宋体" w:hAnsi="宋体" w:eastAsia="宋体" w:cs="宋体"/>
          <w:b w:val="0"/>
          <w:bCs w:val="0"/>
          <w:color w:val="000000"/>
          <w:spacing w:val="11"/>
          <w:sz w:val="32"/>
          <w:szCs w:val="32"/>
        </w:rPr>
        <w:t>，</w:t>
      </w:r>
      <w:r>
        <w:rPr>
          <w:rFonts w:hint="eastAsia" w:ascii="宋体" w:hAnsi="宋体" w:eastAsia="宋体" w:cs="宋体"/>
          <w:b w:val="0"/>
          <w:bCs w:val="0"/>
          <w:color w:val="000000"/>
          <w:spacing w:val="11"/>
          <w:sz w:val="32"/>
          <w:szCs w:val="32"/>
          <w:lang w:eastAsia="zh-CN"/>
        </w:rPr>
        <w:t>其中：行政在职</w:t>
      </w:r>
      <w:r>
        <w:rPr>
          <w:rFonts w:hint="eastAsia" w:ascii="宋体" w:hAnsi="宋体" w:eastAsia="宋体" w:cs="宋体"/>
          <w:b w:val="0"/>
          <w:bCs w:val="0"/>
          <w:color w:val="000000"/>
          <w:spacing w:val="11"/>
          <w:sz w:val="32"/>
          <w:szCs w:val="32"/>
          <w:lang w:val="en-US" w:eastAsia="zh-CN"/>
        </w:rPr>
        <w:t>4人，行政退休4人，事业在职9人，事业退休13人。</w:t>
      </w:r>
      <w:r>
        <w:rPr>
          <w:rFonts w:hint="eastAsia" w:ascii="宋体" w:hAnsi="宋体" w:eastAsia="宋体" w:cs="宋体"/>
          <w:b w:val="0"/>
          <w:bCs w:val="0"/>
          <w:color w:val="000000"/>
          <w:spacing w:val="11"/>
          <w:sz w:val="32"/>
          <w:szCs w:val="32"/>
          <w:lang w:eastAsia="zh-CN"/>
        </w:rPr>
        <w:t>我社下设财务股、办公室、业务股和工会四个机构。</w:t>
      </w:r>
    </w:p>
    <w:p>
      <w:pPr>
        <w:widowControl w:val="0"/>
        <w:numPr>
          <w:numId w:val="0"/>
        </w:numPr>
        <w:wordWrap/>
        <w:adjustRightInd/>
        <w:snapToGrid/>
        <w:spacing w:line="600" w:lineRule="exact"/>
        <w:textAlignment w:val="auto"/>
        <w:rPr>
          <w:rFonts w:hint="eastAsia" w:ascii="宋体" w:hAnsi="宋体" w:eastAsia="宋体" w:cs="宋体"/>
          <w:spacing w:val="11"/>
          <w:sz w:val="32"/>
          <w:szCs w:val="32"/>
          <w:lang w:val="en-US" w:eastAsia="zh-CN"/>
        </w:rPr>
      </w:pPr>
      <w:r>
        <w:rPr>
          <w:rFonts w:hint="eastAsia" w:ascii="宋体" w:hAnsi="宋体" w:eastAsia="宋体" w:cs="宋体"/>
          <w:spacing w:val="11"/>
          <w:sz w:val="32"/>
          <w:szCs w:val="32"/>
          <w:lang w:val="en-US" w:eastAsia="zh-CN"/>
        </w:rPr>
        <w:t xml:space="preserve">    1、财务股：负责贯彻执行《会计法》、《审计法》和相关法律法规、方针政策，指导全县供销系统财务、会计工作；协调处理好与财政、税务、银行、社保等部门关系和相关工作；制定供销系统财务指标计划，县社机关财务收支计划，及时、准确上报全系统财务会计报表，撰写财务审计分析调研报告；机关经费预决算的编制、执行、专项资金下拨的协调和手续办理；组织实施供销系统所属单位的审计和审计监督，指导全系统审计工作；制定全县供销社的商品流转计划，；编制上报全县供销系统商品流转统计报表；监督检查所属企业的财产和经营运行状况，加强对所属企业社有资产的管理、使用的指导协调工作。</w:t>
      </w:r>
    </w:p>
    <w:p>
      <w:pPr>
        <w:widowControl w:val="0"/>
        <w:numPr>
          <w:numId w:val="0"/>
        </w:numPr>
        <w:wordWrap/>
        <w:adjustRightInd/>
        <w:snapToGrid/>
        <w:spacing w:line="600" w:lineRule="exact"/>
        <w:ind w:firstLine="684" w:firstLineChars="200"/>
        <w:textAlignment w:val="auto"/>
        <w:rPr>
          <w:rFonts w:hint="eastAsia" w:ascii="宋体" w:hAnsi="宋体" w:eastAsia="宋体" w:cs="宋体"/>
          <w:spacing w:val="11"/>
          <w:sz w:val="32"/>
          <w:szCs w:val="32"/>
          <w:lang w:val="en-US" w:eastAsia="zh-CN"/>
        </w:rPr>
      </w:pPr>
      <w:r>
        <w:rPr>
          <w:rFonts w:hint="eastAsia" w:ascii="宋体" w:hAnsi="宋体" w:eastAsia="宋体" w:cs="宋体"/>
          <w:spacing w:val="11"/>
          <w:sz w:val="32"/>
          <w:szCs w:val="32"/>
          <w:lang w:val="en-US" w:eastAsia="zh-CN"/>
        </w:rPr>
        <w:t>2、办公室：负责制定全县供销系统的发展规划；综合协调本社各股室及直属单位工作关系；组织开展综合性问题的调查研究；协助社领导处理机关日常事务；负责起草各种文件；负责机关考勤、办公物品、卫生管理及后勤保障工作；负责全系统的普法教育工作；负责本社和直属单位的人事管理、劳动工资、社会保障、职称评聘、纪检监察等工作。</w:t>
      </w:r>
    </w:p>
    <w:p>
      <w:pPr>
        <w:widowControl w:val="0"/>
        <w:numPr>
          <w:numId w:val="0"/>
        </w:numPr>
        <w:wordWrap/>
        <w:adjustRightInd/>
        <w:snapToGrid/>
        <w:spacing w:line="600" w:lineRule="exact"/>
        <w:ind w:firstLine="640"/>
        <w:textAlignment w:val="auto"/>
        <w:rPr>
          <w:rFonts w:hint="eastAsia" w:ascii="宋体" w:hAnsi="宋体" w:eastAsia="宋体" w:cs="宋体"/>
          <w:spacing w:val="11"/>
          <w:sz w:val="32"/>
          <w:szCs w:val="32"/>
          <w:lang w:val="en-US" w:eastAsia="zh-CN"/>
        </w:rPr>
      </w:pPr>
      <w:r>
        <w:rPr>
          <w:rFonts w:hint="eastAsia" w:ascii="宋体" w:hAnsi="宋体" w:eastAsia="宋体" w:cs="宋体"/>
          <w:spacing w:val="11"/>
          <w:sz w:val="32"/>
          <w:szCs w:val="32"/>
          <w:lang w:val="en-US" w:eastAsia="zh-CN"/>
        </w:rPr>
        <w:t>3、业务股：负责指导供销系统综合业务开展，制定全系统年度各项业务指标计划，并督促检查执行工作完成情况；制定和实施农民专业合作经济组织建设发展工作，“新网工程”项目建设申报工作；组织指导发展农村专业合作社、村级综合服务站，积极参与农村市场体系建设和农业社会化服务体系建设；认真组织完成上级社下达的综合业务调研和农民专业合作社经济组织建设调研工作，并撰写调研报告。</w:t>
      </w:r>
    </w:p>
    <w:p>
      <w:pPr>
        <w:widowControl w:val="0"/>
        <w:numPr>
          <w:numId w:val="0"/>
        </w:numPr>
        <w:wordWrap/>
        <w:adjustRightInd/>
        <w:snapToGrid/>
        <w:spacing w:line="600" w:lineRule="exact"/>
        <w:ind w:firstLine="640"/>
        <w:textAlignment w:val="auto"/>
        <w:rPr>
          <w:rFonts w:hint="eastAsia" w:ascii="宋体" w:hAnsi="宋体" w:eastAsia="宋体" w:cs="宋体"/>
          <w:spacing w:val="11"/>
          <w:sz w:val="32"/>
          <w:szCs w:val="32"/>
          <w:lang w:val="en-US" w:eastAsia="zh-CN"/>
        </w:rPr>
      </w:pPr>
      <w:r>
        <w:rPr>
          <w:rFonts w:hint="eastAsia" w:ascii="宋体" w:hAnsi="宋体" w:eastAsia="宋体" w:cs="宋体"/>
          <w:spacing w:val="11"/>
          <w:sz w:val="32"/>
          <w:szCs w:val="32"/>
          <w:lang w:val="en-US" w:eastAsia="zh-CN"/>
        </w:rPr>
        <w:t>4、工会：负责全县供销系统安全生产工作，按照上级和本县安检部门要求，制定本系统安全生产工作实施方案，开展重大节假日安全生产大检查工作，做好全系统改制前离退休人员的管理和服务工作；负责全系统工会、社会治安综合治理和信访稳定工作。</w:t>
      </w:r>
    </w:p>
    <w:p>
      <w:pPr>
        <w:widowControl w:val="0"/>
        <w:wordWrap/>
        <w:adjustRightInd/>
        <w:snapToGrid/>
        <w:spacing w:line="600" w:lineRule="exact"/>
        <w:textAlignment w:val="auto"/>
        <w:rPr>
          <w:rFonts w:hint="eastAsia" w:ascii="宋体" w:hAnsi="宋体" w:eastAsia="宋体" w:cs="宋体"/>
          <w:b/>
          <w:spacing w:val="11"/>
          <w:sz w:val="32"/>
          <w:szCs w:val="32"/>
        </w:rPr>
      </w:pPr>
      <w:r>
        <w:rPr>
          <w:rFonts w:hint="eastAsia" w:ascii="宋体" w:hAnsi="宋体" w:eastAsia="宋体" w:cs="宋体"/>
          <w:spacing w:val="11"/>
          <w:sz w:val="32"/>
          <w:szCs w:val="32"/>
          <w:lang w:val="en-US" w:eastAsia="zh-CN"/>
        </w:rPr>
        <w:t xml:space="preserve">    </w:t>
      </w:r>
      <w:r>
        <w:rPr>
          <w:rFonts w:hint="eastAsia" w:ascii="宋体" w:hAnsi="宋体" w:eastAsia="宋体" w:cs="宋体"/>
          <w:b/>
          <w:spacing w:val="11"/>
          <w:sz w:val="32"/>
          <w:szCs w:val="32"/>
        </w:rPr>
        <w:t>二、主要职能</w:t>
      </w:r>
    </w:p>
    <w:p>
      <w:pPr>
        <w:widowControl w:val="0"/>
        <w:wordWrap/>
        <w:adjustRightInd/>
        <w:snapToGrid/>
        <w:spacing w:line="600" w:lineRule="exact"/>
        <w:ind w:firstLine="684" w:firstLineChars="200"/>
        <w:textAlignment w:val="auto"/>
        <w:rPr>
          <w:rFonts w:hint="eastAsia" w:ascii="宋体" w:hAnsi="宋体" w:eastAsia="宋体" w:cs="宋体"/>
          <w:b w:val="0"/>
          <w:bCs w:val="0"/>
          <w:color w:val="000000"/>
          <w:spacing w:val="11"/>
          <w:sz w:val="32"/>
          <w:szCs w:val="32"/>
          <w:lang w:eastAsia="zh-CN"/>
        </w:rPr>
      </w:pPr>
      <w:r>
        <w:rPr>
          <w:rFonts w:hint="eastAsia" w:ascii="宋体" w:hAnsi="宋体" w:eastAsia="宋体" w:cs="宋体"/>
          <w:b w:val="0"/>
          <w:bCs w:val="0"/>
          <w:color w:val="000000"/>
          <w:spacing w:val="11"/>
          <w:sz w:val="32"/>
          <w:szCs w:val="32"/>
          <w:lang w:val="en-US" w:eastAsia="zh-CN"/>
        </w:rPr>
        <w:t>1、</w:t>
      </w:r>
      <w:r>
        <w:rPr>
          <w:rFonts w:hint="eastAsia" w:ascii="宋体" w:hAnsi="宋体" w:eastAsia="宋体" w:cs="宋体"/>
          <w:b w:val="0"/>
          <w:bCs w:val="0"/>
          <w:color w:val="000000"/>
          <w:spacing w:val="11"/>
          <w:sz w:val="32"/>
          <w:szCs w:val="32"/>
          <w:lang w:eastAsia="zh-CN"/>
        </w:rPr>
        <w:t>制定全县供销工作的发展规划和计划，并组织实施；指导基层供销社的组织建设；</w:t>
      </w:r>
      <w:r>
        <w:rPr>
          <w:rFonts w:hint="eastAsia" w:ascii="宋体" w:hAnsi="宋体" w:eastAsia="宋体" w:cs="宋体"/>
          <w:spacing w:val="11"/>
          <w:kern w:val="0"/>
          <w:sz w:val="32"/>
          <w:szCs w:val="32"/>
          <w:lang w:eastAsia="zh-CN"/>
        </w:rPr>
        <w:t>负责制定供销社的发展战略；</w:t>
      </w:r>
      <w:r>
        <w:rPr>
          <w:rFonts w:hint="eastAsia" w:ascii="宋体" w:hAnsi="宋体" w:eastAsia="宋体" w:cs="宋体"/>
          <w:b w:val="0"/>
          <w:bCs w:val="0"/>
          <w:color w:val="000000"/>
          <w:spacing w:val="11"/>
          <w:sz w:val="32"/>
          <w:szCs w:val="32"/>
          <w:lang w:val="en-US" w:eastAsia="zh-CN"/>
        </w:rPr>
        <w:t>指导供销合作社的业务活动；开展教育培训；提供信息服务</w:t>
      </w:r>
      <w:r>
        <w:rPr>
          <w:rFonts w:hint="eastAsia" w:ascii="宋体" w:hAnsi="宋体" w:eastAsia="宋体" w:cs="宋体"/>
          <w:b w:val="0"/>
          <w:bCs w:val="0"/>
          <w:color w:val="000000"/>
          <w:spacing w:val="11"/>
          <w:sz w:val="32"/>
          <w:szCs w:val="32"/>
        </w:rPr>
        <w:t>。</w:t>
      </w:r>
    </w:p>
    <w:p>
      <w:pPr>
        <w:widowControl w:val="0"/>
        <w:wordWrap/>
        <w:adjustRightInd/>
        <w:snapToGrid/>
        <w:spacing w:line="600" w:lineRule="exact"/>
        <w:ind w:firstLine="0" w:firstLineChars="0"/>
        <w:jc w:val="both"/>
        <w:textAlignment w:val="auto"/>
        <w:rPr>
          <w:rFonts w:hint="eastAsia" w:ascii="宋体" w:hAnsi="宋体" w:eastAsia="宋体" w:cs="宋体"/>
          <w:spacing w:val="11"/>
          <w:kern w:val="0"/>
          <w:sz w:val="24"/>
          <w:lang w:eastAsia="zh-CN"/>
        </w:rPr>
      </w:pPr>
      <w:r>
        <w:rPr>
          <w:rFonts w:hint="eastAsia" w:ascii="宋体" w:hAnsi="宋体" w:eastAsia="宋体" w:cs="宋体"/>
          <w:spacing w:val="11"/>
          <w:kern w:val="0"/>
          <w:sz w:val="32"/>
          <w:szCs w:val="32"/>
          <w:lang w:val="en-US" w:eastAsia="zh-CN"/>
        </w:rPr>
        <w:t xml:space="preserve">    2、</w:t>
      </w:r>
      <w:r>
        <w:rPr>
          <w:rFonts w:hint="eastAsia" w:ascii="宋体" w:hAnsi="宋体" w:eastAsia="宋体" w:cs="宋体"/>
          <w:spacing w:val="11"/>
          <w:kern w:val="0"/>
          <w:sz w:val="32"/>
          <w:szCs w:val="32"/>
          <w:lang w:eastAsia="zh-CN"/>
        </w:rPr>
        <w:t>负责贯彻执行中央、省、市有关农村经济工作和社会发展的方针、政策，执行政府授权的管理服务职能，指导供销社的改革和发展，向政府和有关部门反映农民的意见和要求。为农业生产服务；为农村和农民服务；管理直属单位的资产、行使集体资产所有者代表和管理的职能</w:t>
      </w:r>
      <w:r>
        <w:rPr>
          <w:rFonts w:hint="eastAsia" w:ascii="宋体" w:hAnsi="宋体" w:eastAsia="宋体" w:cs="宋体"/>
          <w:spacing w:val="11"/>
          <w:kern w:val="0"/>
          <w:sz w:val="24"/>
          <w:lang w:eastAsia="zh-CN"/>
        </w:rPr>
        <w:t>。</w:t>
      </w:r>
    </w:p>
    <w:p>
      <w:pPr>
        <w:widowControl w:val="0"/>
        <w:wordWrap/>
        <w:adjustRightInd/>
        <w:snapToGrid/>
        <w:spacing w:line="600" w:lineRule="exact"/>
        <w:ind w:firstLine="627"/>
        <w:textAlignment w:val="auto"/>
        <w:rPr>
          <w:rFonts w:hint="eastAsia" w:ascii="宋体" w:hAnsi="宋体" w:eastAsia="宋体" w:cs="宋体"/>
          <w:b w:val="0"/>
          <w:bCs w:val="0"/>
          <w:color w:val="000000"/>
          <w:spacing w:val="11"/>
          <w:sz w:val="32"/>
          <w:szCs w:val="32"/>
        </w:rPr>
      </w:pPr>
      <w:r>
        <w:rPr>
          <w:rFonts w:hint="eastAsia" w:ascii="宋体" w:hAnsi="宋体" w:eastAsia="宋体" w:cs="宋体"/>
          <w:b w:val="0"/>
          <w:bCs w:val="0"/>
          <w:color w:val="000000"/>
          <w:spacing w:val="11"/>
          <w:sz w:val="32"/>
          <w:szCs w:val="32"/>
          <w:lang w:val="en-US" w:eastAsia="zh-CN"/>
        </w:rPr>
        <w:t>3、</w:t>
      </w:r>
      <w:r>
        <w:rPr>
          <w:rFonts w:hint="eastAsia" w:ascii="宋体" w:hAnsi="宋体" w:eastAsia="宋体" w:cs="宋体"/>
          <w:b w:val="0"/>
          <w:bCs w:val="0"/>
          <w:color w:val="000000"/>
          <w:spacing w:val="11"/>
          <w:sz w:val="32"/>
          <w:szCs w:val="32"/>
          <w:lang w:eastAsia="zh-CN"/>
        </w:rPr>
        <w:t>协调管理农业生产资料、专营商品和农副产品的经营；会同有关部门依法严厉打击制造和销售假冒伪劣农用生产资料的坑农、害农行为。</w:t>
      </w:r>
      <w:r>
        <w:rPr>
          <w:rFonts w:hint="eastAsia" w:ascii="宋体" w:hAnsi="宋体" w:eastAsia="宋体" w:cs="宋体"/>
          <w:spacing w:val="11"/>
          <w:kern w:val="0"/>
          <w:sz w:val="32"/>
          <w:szCs w:val="32"/>
          <w:lang w:eastAsia="zh-CN"/>
        </w:rPr>
        <w:t>对废旧物资回收和烟花炮竹工作实施行业管理；受政府委托宣传国家关于食用碘盐的政策；保障食用碘盐供给；受政府委托管理食用碘盐市场。</w:t>
      </w:r>
    </w:p>
    <w:p>
      <w:pPr>
        <w:widowControl w:val="0"/>
        <w:wordWrap/>
        <w:adjustRightInd/>
        <w:snapToGrid/>
        <w:spacing w:line="600" w:lineRule="exact"/>
        <w:ind w:firstLine="684" w:firstLineChars="200"/>
        <w:textAlignment w:val="auto"/>
        <w:rPr>
          <w:rFonts w:ascii="仿宋_GB2312" w:eastAsia="仿宋_GB2312"/>
          <w:spacing w:val="11"/>
          <w:sz w:val="32"/>
          <w:szCs w:val="32"/>
        </w:rPr>
      </w:pPr>
    </w:p>
    <w:p>
      <w:pPr>
        <w:widowControl w:val="0"/>
        <w:wordWrap/>
        <w:adjustRightInd/>
        <w:snapToGrid/>
        <w:spacing w:line="600" w:lineRule="exact"/>
        <w:ind w:firstLine="684" w:firstLineChars="200"/>
        <w:textAlignment w:val="auto"/>
        <w:rPr>
          <w:rFonts w:ascii="仿宋_GB2312" w:eastAsia="仿宋_GB2312"/>
          <w:spacing w:val="11"/>
          <w:sz w:val="32"/>
          <w:szCs w:val="32"/>
        </w:rPr>
      </w:pPr>
    </w:p>
    <w:p>
      <w:pPr>
        <w:widowControl w:val="0"/>
        <w:wordWrap/>
        <w:adjustRightInd/>
        <w:snapToGrid/>
        <w:spacing w:line="600" w:lineRule="exact"/>
        <w:ind w:firstLine="640" w:firstLineChars="200"/>
        <w:textAlignment w:val="auto"/>
        <w:rPr>
          <w:rFonts w:ascii="仿宋_GB2312" w:eastAsia="仿宋_GB2312"/>
          <w:sz w:val="32"/>
          <w:szCs w:val="32"/>
        </w:rPr>
      </w:pPr>
    </w:p>
    <w:p>
      <w:pPr>
        <w:widowControl w:val="0"/>
        <w:wordWrap/>
        <w:adjustRightInd/>
        <w:snapToGrid/>
        <w:spacing w:line="600" w:lineRule="exact"/>
        <w:jc w:val="center"/>
        <w:textAlignment w:val="auto"/>
        <w:rPr>
          <w:rFonts w:hint="eastAsia" w:ascii="黑体" w:eastAsia="黑体"/>
          <w:sz w:val="32"/>
          <w:szCs w:val="32"/>
        </w:rPr>
      </w:pPr>
    </w:p>
    <w:p>
      <w:pPr>
        <w:widowControl w:val="0"/>
        <w:wordWrap/>
        <w:adjustRightInd/>
        <w:snapToGrid/>
        <w:spacing w:line="600" w:lineRule="exact"/>
        <w:jc w:val="center"/>
        <w:textAlignment w:val="auto"/>
        <w:rPr>
          <w:rFonts w:hint="eastAsia" w:ascii="黑体" w:eastAsia="黑体"/>
          <w:sz w:val="32"/>
          <w:szCs w:val="32"/>
        </w:rPr>
      </w:pPr>
    </w:p>
    <w:p>
      <w:pPr>
        <w:widowControl w:val="0"/>
        <w:wordWrap/>
        <w:adjustRightInd/>
        <w:snapToGrid/>
        <w:spacing w:line="600" w:lineRule="exact"/>
        <w:jc w:val="center"/>
        <w:textAlignment w:val="auto"/>
        <w:rPr>
          <w:rFonts w:hint="eastAsia" w:ascii="黑体" w:eastAsia="黑体"/>
          <w:sz w:val="32"/>
          <w:szCs w:val="32"/>
        </w:rPr>
      </w:pPr>
    </w:p>
    <w:p>
      <w:pPr>
        <w:widowControl w:val="0"/>
        <w:wordWrap/>
        <w:adjustRightInd/>
        <w:snapToGrid/>
        <w:spacing w:line="600" w:lineRule="exact"/>
        <w:jc w:val="center"/>
        <w:textAlignment w:val="auto"/>
        <w:rPr>
          <w:rFonts w:hint="eastAsia" w:ascii="黑体" w:eastAsia="黑体"/>
          <w:sz w:val="32"/>
          <w:szCs w:val="32"/>
        </w:rPr>
      </w:pPr>
    </w:p>
    <w:p>
      <w:pPr>
        <w:widowControl w:val="0"/>
        <w:wordWrap/>
        <w:adjustRightInd/>
        <w:snapToGrid/>
        <w:spacing w:line="600" w:lineRule="exact"/>
        <w:jc w:val="center"/>
        <w:textAlignment w:val="auto"/>
        <w:rPr>
          <w:rFonts w:hint="eastAsia" w:ascii="黑体" w:eastAsia="黑体"/>
          <w:sz w:val="32"/>
          <w:szCs w:val="32"/>
        </w:rPr>
      </w:pPr>
    </w:p>
    <w:p>
      <w:pPr>
        <w:widowControl w:val="0"/>
        <w:wordWrap/>
        <w:adjustRightInd/>
        <w:snapToGrid/>
        <w:spacing w:line="600" w:lineRule="exact"/>
        <w:jc w:val="center"/>
        <w:textAlignment w:val="auto"/>
        <w:rPr>
          <w:rFonts w:hint="eastAsia" w:ascii="黑体" w:eastAsia="黑体"/>
          <w:sz w:val="32"/>
          <w:szCs w:val="32"/>
        </w:rPr>
      </w:pPr>
    </w:p>
    <w:p>
      <w:pPr>
        <w:widowControl w:val="0"/>
        <w:wordWrap/>
        <w:adjustRightInd/>
        <w:snapToGrid/>
        <w:spacing w:line="600" w:lineRule="exact"/>
        <w:jc w:val="center"/>
        <w:textAlignment w:val="auto"/>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pPr>
        <w:widowControl w:val="0"/>
        <w:wordWrap/>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eastAsia="zh-CN"/>
        </w:rPr>
        <w:t>供销合作社联合社2019</w:t>
      </w:r>
      <w:r>
        <w:rPr>
          <w:rFonts w:hint="eastAsia" w:ascii="仿宋_GB2312" w:eastAsia="仿宋_GB2312"/>
          <w:sz w:val="32"/>
          <w:szCs w:val="32"/>
        </w:rPr>
        <w:t>年预算收支总表</w:t>
      </w:r>
    </w:p>
    <w:p>
      <w:pPr>
        <w:widowControl w:val="0"/>
        <w:wordWrap/>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eastAsia="zh-CN"/>
        </w:rPr>
        <w:t>供销合作社联合社2019</w:t>
      </w:r>
      <w:r>
        <w:rPr>
          <w:rFonts w:hint="eastAsia" w:ascii="仿宋_GB2312" w:eastAsia="仿宋_GB2312"/>
          <w:sz w:val="32"/>
          <w:szCs w:val="32"/>
        </w:rPr>
        <w:t>年预算收入总表</w:t>
      </w:r>
    </w:p>
    <w:p>
      <w:pPr>
        <w:widowControl w:val="0"/>
        <w:wordWrap/>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eastAsia="zh-CN"/>
        </w:rPr>
        <w:t>供销合作社联合社2019</w:t>
      </w:r>
      <w:r>
        <w:rPr>
          <w:rFonts w:hint="eastAsia" w:ascii="仿宋_GB2312" w:eastAsia="仿宋_GB2312"/>
          <w:sz w:val="32"/>
          <w:szCs w:val="32"/>
        </w:rPr>
        <w:t>年预算支出总表</w:t>
      </w:r>
    </w:p>
    <w:p>
      <w:pPr>
        <w:widowControl w:val="0"/>
        <w:wordWrap/>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eastAsia="zh-CN"/>
        </w:rPr>
        <w:t>供销合作社联合社2019</w:t>
      </w:r>
      <w:r>
        <w:rPr>
          <w:rFonts w:hint="eastAsia" w:ascii="仿宋_GB2312" w:eastAsia="仿宋_GB2312"/>
          <w:sz w:val="32"/>
          <w:szCs w:val="32"/>
        </w:rPr>
        <w:t>年财政拨款收支总表</w:t>
      </w:r>
    </w:p>
    <w:p>
      <w:pPr>
        <w:widowControl w:val="0"/>
        <w:wordWrap/>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供销合作社联合社2019</w:t>
      </w:r>
      <w:r>
        <w:rPr>
          <w:rFonts w:hint="eastAsia" w:ascii="仿宋_GB2312" w:eastAsia="仿宋_GB2312"/>
          <w:sz w:val="32"/>
          <w:szCs w:val="32"/>
        </w:rPr>
        <w:t>年一般公共预算支出预算表</w:t>
      </w:r>
    </w:p>
    <w:p>
      <w:pPr>
        <w:widowControl w:val="0"/>
        <w:wordWrap/>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供销合作社联合社2019</w:t>
      </w:r>
      <w:r>
        <w:rPr>
          <w:rFonts w:hint="eastAsia" w:ascii="仿宋_GB2312" w:eastAsia="仿宋_GB2312"/>
          <w:sz w:val="32"/>
          <w:szCs w:val="32"/>
        </w:rPr>
        <w:t>年一般公共预算安排基本支出分经济科目表</w:t>
      </w:r>
    </w:p>
    <w:p>
      <w:pPr>
        <w:widowControl w:val="0"/>
        <w:wordWrap/>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eastAsia="zh-CN"/>
        </w:rPr>
        <w:t>供销合作社联合社2019</w:t>
      </w:r>
      <w:r>
        <w:rPr>
          <w:rFonts w:hint="eastAsia" w:ascii="仿宋_GB2312" w:eastAsia="仿宋_GB2312"/>
          <w:sz w:val="32"/>
          <w:szCs w:val="32"/>
        </w:rPr>
        <w:t>年政府性基金预算收入预算表</w:t>
      </w:r>
    </w:p>
    <w:p>
      <w:pPr>
        <w:widowControl w:val="0"/>
        <w:wordWrap/>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eastAsia="zh-CN"/>
        </w:rPr>
        <w:t>供销合作社联合社2019</w:t>
      </w:r>
      <w:r>
        <w:rPr>
          <w:rFonts w:hint="eastAsia" w:ascii="仿宋_GB2312" w:eastAsia="仿宋_GB2312"/>
          <w:sz w:val="32"/>
          <w:szCs w:val="32"/>
        </w:rPr>
        <w:t>年政府性基金预算支出预算表</w:t>
      </w:r>
    </w:p>
    <w:p>
      <w:pPr>
        <w:widowControl w:val="0"/>
        <w:wordWrap/>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eastAsia="zh-CN"/>
        </w:rPr>
        <w:t>供销合作社联合社2019</w:t>
      </w:r>
      <w:r>
        <w:rPr>
          <w:rFonts w:hint="eastAsia" w:ascii="仿宋_GB2312" w:eastAsia="仿宋_GB2312"/>
          <w:sz w:val="32"/>
          <w:szCs w:val="32"/>
        </w:rPr>
        <w:t>年“三公”经费预算财政拨款情况统计表</w:t>
      </w:r>
    </w:p>
    <w:p>
      <w:pPr>
        <w:widowControl w:val="0"/>
        <w:wordWrap/>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eastAsia="zh-CN"/>
        </w:rPr>
        <w:t>供销合作社联合社2019</w:t>
      </w:r>
      <w:r>
        <w:rPr>
          <w:rFonts w:hint="eastAsia" w:ascii="仿宋_GB2312" w:eastAsia="仿宋_GB2312"/>
          <w:sz w:val="32"/>
          <w:szCs w:val="32"/>
        </w:rPr>
        <w:t>年机关运行经费预算财政拨款情况统计表</w:t>
      </w:r>
    </w:p>
    <w:p>
      <w:pPr>
        <w:widowControl w:val="0"/>
        <w:wordWrap/>
        <w:adjustRightInd/>
        <w:snapToGrid/>
        <w:spacing w:line="600" w:lineRule="exact"/>
        <w:jc w:val="center"/>
        <w:textAlignment w:val="auto"/>
        <w:rPr>
          <w:rFonts w:hint="eastAsia" w:ascii="黑体" w:eastAsia="黑体"/>
          <w:sz w:val="32"/>
          <w:szCs w:val="32"/>
        </w:rPr>
      </w:pPr>
    </w:p>
    <w:p>
      <w:pPr>
        <w:widowControl w:val="0"/>
        <w:wordWrap/>
        <w:adjustRightInd/>
        <w:snapToGrid/>
        <w:spacing w:line="600" w:lineRule="exact"/>
        <w:jc w:val="center"/>
        <w:textAlignment w:val="auto"/>
        <w:rPr>
          <w:rFonts w:hint="eastAsia" w:ascii="黑体" w:eastAsia="黑体"/>
          <w:sz w:val="32"/>
          <w:szCs w:val="32"/>
        </w:rPr>
      </w:pPr>
    </w:p>
    <w:p>
      <w:pPr>
        <w:widowControl w:val="0"/>
        <w:wordWrap/>
        <w:adjustRightInd/>
        <w:snapToGrid/>
        <w:spacing w:line="600" w:lineRule="exact"/>
        <w:jc w:val="center"/>
        <w:textAlignment w:val="auto"/>
        <w:rPr>
          <w:rFonts w:hint="eastAsia" w:ascii="黑体" w:eastAsia="黑体"/>
          <w:sz w:val="32"/>
          <w:szCs w:val="32"/>
        </w:rPr>
      </w:pPr>
    </w:p>
    <w:p>
      <w:pPr>
        <w:widowControl w:val="0"/>
        <w:wordWrap/>
        <w:adjustRightInd/>
        <w:snapToGrid/>
        <w:spacing w:line="600" w:lineRule="exact"/>
        <w:jc w:val="center"/>
        <w:textAlignment w:val="auto"/>
        <w:rPr>
          <w:rFonts w:hint="eastAsia" w:ascii="黑体" w:eastAsia="黑体"/>
          <w:sz w:val="32"/>
          <w:szCs w:val="32"/>
        </w:rPr>
      </w:pPr>
    </w:p>
    <w:p>
      <w:pPr>
        <w:widowControl w:val="0"/>
        <w:wordWrap/>
        <w:adjustRightInd/>
        <w:snapToGrid/>
        <w:spacing w:line="600" w:lineRule="exact"/>
        <w:jc w:val="center"/>
        <w:textAlignment w:val="auto"/>
        <w:rPr>
          <w:rFonts w:hint="eastAsia" w:ascii="黑体" w:eastAsia="黑体"/>
          <w:sz w:val="32"/>
          <w:szCs w:val="32"/>
        </w:rPr>
      </w:pPr>
    </w:p>
    <w:p>
      <w:pPr>
        <w:widowControl w:val="0"/>
        <w:wordWrap/>
        <w:adjustRightInd/>
        <w:snapToGrid/>
        <w:spacing w:line="600" w:lineRule="exact"/>
        <w:jc w:val="center"/>
        <w:textAlignment w:val="auto"/>
        <w:rPr>
          <w:rFonts w:hint="eastAsia" w:ascii="黑体" w:eastAsia="黑体"/>
          <w:sz w:val="32"/>
          <w:szCs w:val="32"/>
        </w:rPr>
      </w:pPr>
    </w:p>
    <w:p>
      <w:pPr>
        <w:widowControl w:val="0"/>
        <w:wordWrap/>
        <w:adjustRightInd/>
        <w:snapToGrid/>
        <w:spacing w:line="600" w:lineRule="exact"/>
        <w:jc w:val="both"/>
        <w:textAlignment w:val="auto"/>
        <w:rPr>
          <w:rFonts w:hint="eastAsia" w:ascii="黑体" w:eastAsia="黑体"/>
          <w:sz w:val="32"/>
          <w:szCs w:val="32"/>
        </w:rPr>
      </w:pPr>
    </w:p>
    <w:p>
      <w:pPr>
        <w:widowControl w:val="0"/>
        <w:wordWrap/>
        <w:adjustRightInd/>
        <w:snapToGrid/>
        <w:spacing w:line="600" w:lineRule="exact"/>
        <w:ind w:firstLine="1600" w:firstLineChars="500"/>
        <w:jc w:val="both"/>
        <w:textAlignment w:val="auto"/>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pPr>
        <w:widowControl w:val="0"/>
        <w:wordWrap/>
        <w:adjustRightInd/>
        <w:snapToGrid/>
        <w:spacing w:line="600" w:lineRule="exact"/>
        <w:ind w:firstLine="643" w:firstLineChars="200"/>
        <w:textAlignment w:val="auto"/>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pPr>
        <w:widowControl w:val="0"/>
        <w:wordWrap/>
        <w:adjustRightInd/>
        <w:snapToGrid/>
        <w:spacing w:line="600" w:lineRule="exact"/>
        <w:ind w:left="638" w:leftChars="304" w:firstLine="640" w:firstLineChars="200"/>
        <w:textAlignment w:val="auto"/>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供销合作社联合社2019</w:t>
      </w:r>
      <w:r>
        <w:rPr>
          <w:rFonts w:hint="eastAsia" w:ascii="仿宋_GB2312" w:eastAsia="仿宋_GB2312"/>
          <w:sz w:val="32"/>
          <w:szCs w:val="32"/>
        </w:rPr>
        <w:t>年部门预算</w:t>
      </w:r>
      <w:r>
        <w:rPr>
          <w:rFonts w:hint="eastAsia" w:ascii="仿宋_GB2312" w:eastAsia="仿宋_GB2312"/>
          <w:sz w:val="32"/>
          <w:szCs w:val="32"/>
          <w:lang w:val="en-US" w:eastAsia="zh-CN"/>
        </w:rPr>
        <w:t xml:space="preserve">289.62   </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166.44</w:t>
      </w:r>
      <w:r>
        <w:rPr>
          <w:rFonts w:hint="eastAsia" w:ascii="仿宋_GB2312" w:eastAsia="仿宋_GB2312"/>
          <w:sz w:val="32"/>
          <w:szCs w:val="32"/>
        </w:rPr>
        <w:t>万元。其中：工资福利支出比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9.6</w:t>
      </w:r>
      <w:r>
        <w:rPr>
          <w:rFonts w:hint="eastAsia" w:ascii="仿宋_GB2312" w:eastAsia="仿宋_GB2312"/>
          <w:sz w:val="32"/>
          <w:szCs w:val="32"/>
        </w:rPr>
        <w:t>万元，增加原因为</w:t>
      </w:r>
      <w:r>
        <w:rPr>
          <w:rFonts w:hint="eastAsia" w:ascii="仿宋_GB2312" w:eastAsia="仿宋_GB2312"/>
          <w:sz w:val="32"/>
          <w:szCs w:val="32"/>
          <w:lang w:eastAsia="zh-CN"/>
        </w:rPr>
        <w:t>人员工资普调</w:t>
      </w:r>
      <w:r>
        <w:rPr>
          <w:rFonts w:hint="eastAsia" w:ascii="仿宋_GB2312" w:eastAsia="仿宋_GB2312"/>
          <w:sz w:val="32"/>
          <w:szCs w:val="32"/>
        </w:rPr>
        <w:t>。商品和服务支出比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0.4</w:t>
      </w:r>
      <w:r>
        <w:rPr>
          <w:rFonts w:hint="eastAsia" w:ascii="仿宋_GB2312" w:eastAsia="仿宋_GB2312"/>
          <w:sz w:val="32"/>
          <w:szCs w:val="32"/>
        </w:rPr>
        <w:t>万元，增加原因为</w:t>
      </w:r>
      <w:r>
        <w:rPr>
          <w:rFonts w:hint="eastAsia" w:ascii="仿宋_GB2312" w:eastAsia="仿宋_GB2312"/>
          <w:sz w:val="32"/>
          <w:szCs w:val="32"/>
          <w:lang w:eastAsia="zh-CN"/>
        </w:rPr>
        <w:t>办公费</w:t>
      </w:r>
      <w:r>
        <w:rPr>
          <w:rFonts w:hint="eastAsia" w:ascii="仿宋_GB2312" w:eastAsia="仿宋_GB2312"/>
          <w:sz w:val="32"/>
          <w:szCs w:val="32"/>
        </w:rPr>
        <w:t>。对个人和家庭补助支出比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6.44</w:t>
      </w:r>
      <w:r>
        <w:rPr>
          <w:rFonts w:hint="eastAsia" w:ascii="仿宋_GB2312" w:eastAsia="仿宋_GB2312"/>
          <w:sz w:val="32"/>
          <w:szCs w:val="32"/>
        </w:rPr>
        <w:t>万元。项目支出</w:t>
      </w:r>
      <w:r>
        <w:rPr>
          <w:rFonts w:hint="eastAsia" w:ascii="仿宋_GB2312" w:eastAsia="仿宋_GB2312"/>
          <w:sz w:val="32"/>
          <w:szCs w:val="32"/>
          <w:lang w:eastAsia="zh-CN"/>
        </w:rPr>
        <w:t>2019</w:t>
      </w:r>
      <w:r>
        <w:rPr>
          <w:rFonts w:hint="eastAsia" w:ascii="仿宋_GB2312" w:eastAsia="仿宋_GB2312"/>
          <w:sz w:val="32"/>
          <w:szCs w:val="32"/>
        </w:rPr>
        <w:t>年比</w:t>
      </w:r>
      <w:r>
        <w:rPr>
          <w:rFonts w:hint="eastAsia" w:ascii="仿宋_GB2312" w:eastAsia="仿宋_GB2312"/>
          <w:sz w:val="32"/>
          <w:szCs w:val="32"/>
          <w:lang w:eastAsia="zh-CN"/>
        </w:rPr>
        <w:t>2018</w:t>
      </w:r>
      <w:r>
        <w:rPr>
          <w:rFonts w:hint="eastAsia" w:ascii="仿宋_GB2312" w:eastAsia="仿宋_GB2312"/>
          <w:sz w:val="32"/>
          <w:szCs w:val="32"/>
        </w:rPr>
        <w:t>年预算</w:t>
      </w:r>
      <w:r>
        <w:rPr>
          <w:rFonts w:hint="eastAsia" w:ascii="仿宋_GB2312" w:eastAsia="仿宋_GB2312"/>
          <w:sz w:val="32"/>
          <w:szCs w:val="32"/>
          <w:lang w:eastAsia="zh-CN"/>
        </w:rPr>
        <w:t>增加</w:t>
      </w:r>
      <w:r>
        <w:rPr>
          <w:rFonts w:hint="eastAsia" w:ascii="仿宋_GB2312" w:eastAsia="仿宋_GB2312"/>
          <w:sz w:val="32"/>
          <w:szCs w:val="32"/>
          <w:lang w:val="en-US" w:eastAsia="zh-CN"/>
        </w:rPr>
        <w:t>150</w:t>
      </w:r>
      <w:r>
        <w:rPr>
          <w:rFonts w:hint="eastAsia" w:ascii="仿宋_GB2312" w:eastAsia="仿宋_GB2312"/>
          <w:sz w:val="32"/>
          <w:szCs w:val="32"/>
        </w:rPr>
        <w:t>万元。</w:t>
      </w:r>
    </w:p>
    <w:p>
      <w:pPr>
        <w:widowControl w:val="0"/>
        <w:wordWrap/>
        <w:adjustRightInd/>
        <w:snapToGrid/>
        <w:spacing w:line="600" w:lineRule="exact"/>
        <w:ind w:firstLine="643" w:firstLineChars="200"/>
        <w:textAlignment w:val="auto"/>
        <w:rPr>
          <w:rFonts w:ascii="仿宋_GB2312" w:eastAsia="仿宋_GB2312"/>
          <w:b/>
          <w:sz w:val="32"/>
          <w:szCs w:val="32"/>
        </w:rPr>
      </w:pPr>
      <w:r>
        <w:rPr>
          <w:rFonts w:hint="eastAsia" w:ascii="仿宋_GB2312" w:eastAsia="仿宋_GB2312"/>
          <w:b/>
          <w:sz w:val="32"/>
          <w:szCs w:val="32"/>
        </w:rPr>
        <w:t>二、“三公”经费增减变动原因说明</w:t>
      </w:r>
    </w:p>
    <w:p>
      <w:pPr>
        <w:widowControl w:val="0"/>
        <w:wordWrap/>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 xml:space="preserve"> 0</w:t>
      </w:r>
      <w:r>
        <w:rPr>
          <w:rFonts w:hint="eastAsia" w:ascii="仿宋_GB2312" w:eastAsia="仿宋_GB2312"/>
          <w:sz w:val="32"/>
          <w:szCs w:val="32"/>
        </w:rPr>
        <w:t>万元，</w:t>
      </w:r>
      <w:r>
        <w:rPr>
          <w:rFonts w:hint="eastAsia" w:ascii="仿宋_GB2312" w:eastAsia="仿宋_GB2312"/>
          <w:sz w:val="32"/>
          <w:szCs w:val="32"/>
          <w:lang w:eastAsia="zh-CN"/>
        </w:rPr>
        <w:t>与201</w:t>
      </w:r>
      <w:r>
        <w:rPr>
          <w:rFonts w:hint="eastAsia" w:ascii="仿宋_GB2312" w:eastAsia="仿宋_GB2312"/>
          <w:sz w:val="32"/>
          <w:szCs w:val="32"/>
          <w:lang w:val="en-US" w:eastAsia="zh-CN"/>
        </w:rPr>
        <w:t>8</w:t>
      </w:r>
      <w:r>
        <w:rPr>
          <w:rFonts w:hint="eastAsia" w:ascii="仿宋_GB2312" w:eastAsia="仿宋_GB2312"/>
          <w:sz w:val="32"/>
          <w:szCs w:val="32"/>
        </w:rPr>
        <w:t>年</w:t>
      </w:r>
      <w:r>
        <w:rPr>
          <w:rFonts w:hint="eastAsia" w:ascii="仿宋_GB2312" w:eastAsia="仿宋_GB2312"/>
          <w:sz w:val="32"/>
          <w:szCs w:val="32"/>
          <w:lang w:eastAsia="zh-CN"/>
        </w:rPr>
        <w:t>比较无变化</w:t>
      </w:r>
      <w:r>
        <w:rPr>
          <w:rFonts w:hint="eastAsia" w:ascii="仿宋_GB2312" w:eastAsia="仿宋_GB2312"/>
          <w:sz w:val="32"/>
          <w:szCs w:val="32"/>
          <w:lang w:val="en-US" w:eastAsia="zh-CN"/>
        </w:rPr>
        <w:t xml:space="preserve">  </w:t>
      </w:r>
      <w:r>
        <w:rPr>
          <w:rFonts w:hint="eastAsia" w:ascii="仿宋_GB2312" w:eastAsia="仿宋_GB2312"/>
          <w:sz w:val="32"/>
          <w:szCs w:val="32"/>
        </w:rPr>
        <w:t>。其中：因公出国（境）费用</w:t>
      </w:r>
      <w:r>
        <w:rPr>
          <w:rFonts w:ascii="仿宋_GB2312" w:eastAsia="仿宋_GB2312"/>
          <w:sz w:val="32"/>
          <w:szCs w:val="32"/>
        </w:rPr>
        <w:t>0</w:t>
      </w:r>
      <w:r>
        <w:rPr>
          <w:rFonts w:hint="eastAsia" w:ascii="仿宋_GB2312" w:eastAsia="仿宋_GB2312"/>
          <w:sz w:val="32"/>
          <w:szCs w:val="32"/>
        </w:rPr>
        <w:t>万元，比上年无变化；公务接待费</w:t>
      </w:r>
      <w:r>
        <w:rPr>
          <w:rFonts w:hint="eastAsia" w:ascii="仿宋_GB2312" w:eastAsia="仿宋_GB2312"/>
          <w:sz w:val="32"/>
          <w:szCs w:val="32"/>
          <w:lang w:val="en-US" w:eastAsia="zh-CN"/>
        </w:rPr>
        <w:t xml:space="preserve"> 0</w:t>
      </w:r>
      <w:r>
        <w:rPr>
          <w:rFonts w:hint="eastAsia" w:ascii="仿宋_GB2312" w:eastAsia="仿宋_GB2312"/>
          <w:sz w:val="32"/>
          <w:szCs w:val="32"/>
        </w:rPr>
        <w:t>万元，比上年</w:t>
      </w:r>
      <w:r>
        <w:rPr>
          <w:rFonts w:hint="eastAsia" w:ascii="仿宋_GB2312" w:eastAsia="仿宋_GB2312"/>
          <w:sz w:val="32"/>
          <w:szCs w:val="32"/>
          <w:lang w:eastAsia="zh-CN"/>
        </w:rPr>
        <w:t>无变化</w:t>
      </w:r>
      <w:r>
        <w:rPr>
          <w:rFonts w:hint="eastAsia" w:ascii="仿宋_GB2312" w:eastAsia="仿宋_GB2312"/>
          <w:sz w:val="32"/>
          <w:szCs w:val="32"/>
          <w:lang w:val="en-US" w:eastAsia="zh-CN"/>
        </w:rPr>
        <w:t xml:space="preserve"> </w:t>
      </w:r>
      <w:r>
        <w:rPr>
          <w:rFonts w:hint="eastAsia" w:ascii="仿宋_GB2312" w:eastAsia="仿宋_GB2312"/>
          <w:sz w:val="32"/>
          <w:szCs w:val="32"/>
        </w:rPr>
        <w:t>，公务用车运行维护费</w:t>
      </w:r>
      <w:r>
        <w:rPr>
          <w:rFonts w:hint="eastAsia" w:ascii="仿宋_GB2312" w:eastAsia="仿宋_GB2312"/>
          <w:sz w:val="32"/>
          <w:szCs w:val="32"/>
          <w:lang w:val="en-US" w:eastAsia="zh-CN"/>
        </w:rPr>
        <w:t xml:space="preserve">0 </w:t>
      </w:r>
      <w:r>
        <w:rPr>
          <w:rFonts w:hint="eastAsia" w:ascii="仿宋_GB2312" w:eastAsia="仿宋_GB2312"/>
          <w:sz w:val="32"/>
          <w:szCs w:val="32"/>
        </w:rPr>
        <w:t>万元，比上年</w:t>
      </w:r>
      <w:r>
        <w:rPr>
          <w:rFonts w:hint="eastAsia" w:ascii="仿宋_GB2312" w:eastAsia="仿宋_GB2312"/>
          <w:sz w:val="32"/>
          <w:szCs w:val="32"/>
          <w:lang w:eastAsia="zh-CN"/>
        </w:rPr>
        <w:t>无变化</w:t>
      </w:r>
      <w:r>
        <w:rPr>
          <w:rFonts w:hint="eastAsia" w:ascii="仿宋_GB2312" w:eastAsia="仿宋_GB2312"/>
          <w:sz w:val="32"/>
          <w:szCs w:val="32"/>
          <w:lang w:val="en-US" w:eastAsia="zh-CN"/>
        </w:rPr>
        <w:t xml:space="preserve"> </w:t>
      </w:r>
      <w:r>
        <w:rPr>
          <w:rFonts w:hint="eastAsia" w:ascii="仿宋_GB2312" w:eastAsia="仿宋_GB2312"/>
          <w:sz w:val="32"/>
          <w:szCs w:val="32"/>
        </w:rPr>
        <w:t>；公务用车购置费</w:t>
      </w:r>
      <w:r>
        <w:rPr>
          <w:rFonts w:ascii="仿宋_GB2312" w:eastAsia="仿宋_GB2312"/>
          <w:sz w:val="32"/>
          <w:szCs w:val="32"/>
        </w:rPr>
        <w:t>0</w:t>
      </w:r>
      <w:r>
        <w:rPr>
          <w:rFonts w:hint="eastAsia" w:ascii="仿宋_GB2312" w:eastAsia="仿宋_GB2312"/>
          <w:sz w:val="32"/>
          <w:szCs w:val="32"/>
        </w:rPr>
        <w:t>元，比上年</w:t>
      </w:r>
      <w:r>
        <w:rPr>
          <w:rFonts w:hint="eastAsia" w:ascii="仿宋_GB2312" w:eastAsia="仿宋_GB2312"/>
          <w:sz w:val="32"/>
          <w:szCs w:val="32"/>
          <w:lang w:eastAsia="zh-CN"/>
        </w:rPr>
        <w:t>无变化</w:t>
      </w:r>
      <w:r>
        <w:rPr>
          <w:rFonts w:hint="eastAsia" w:ascii="仿宋_GB2312" w:eastAsia="仿宋_GB2312"/>
          <w:sz w:val="32"/>
          <w:szCs w:val="32"/>
          <w:lang w:val="en-US" w:eastAsia="zh-CN"/>
        </w:rPr>
        <w:t xml:space="preserve"> </w:t>
      </w:r>
      <w:r>
        <w:rPr>
          <w:rFonts w:hint="eastAsia" w:ascii="仿宋_GB2312" w:eastAsia="仿宋_GB2312"/>
          <w:sz w:val="32"/>
          <w:szCs w:val="32"/>
        </w:rPr>
        <w:t>。</w:t>
      </w:r>
    </w:p>
    <w:p>
      <w:pPr>
        <w:widowControl w:val="0"/>
        <w:wordWrap/>
        <w:adjustRightInd/>
        <w:snapToGrid/>
        <w:spacing w:line="600" w:lineRule="exact"/>
        <w:ind w:firstLine="643" w:firstLineChars="200"/>
        <w:textAlignment w:val="auto"/>
        <w:rPr>
          <w:rFonts w:ascii="仿宋_GB2312" w:eastAsia="仿宋_GB2312"/>
          <w:b/>
          <w:sz w:val="32"/>
          <w:szCs w:val="32"/>
        </w:rPr>
      </w:pPr>
      <w:r>
        <w:rPr>
          <w:rFonts w:hint="eastAsia" w:ascii="仿宋_GB2312" w:eastAsia="仿宋_GB2312"/>
          <w:b/>
          <w:sz w:val="32"/>
          <w:szCs w:val="32"/>
        </w:rPr>
        <w:t>三、机关运行经费增减变动原因说明</w:t>
      </w:r>
    </w:p>
    <w:p>
      <w:pPr>
        <w:widowControl w:val="0"/>
        <w:wordWrap/>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供销合作社联合社</w:t>
      </w:r>
      <w:r>
        <w:rPr>
          <w:rFonts w:hint="eastAsia" w:ascii="仿宋_GB2312" w:eastAsia="仿宋_GB2312"/>
          <w:sz w:val="32"/>
          <w:szCs w:val="32"/>
          <w:lang w:eastAsia="zh-CN"/>
        </w:rPr>
        <w:t>2019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 xml:space="preserve">   11.65</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0.4</w:t>
      </w:r>
      <w:r>
        <w:rPr>
          <w:rFonts w:hint="eastAsia" w:ascii="仿宋_GB2312" w:eastAsia="仿宋_GB2312"/>
          <w:sz w:val="32"/>
          <w:szCs w:val="32"/>
        </w:rPr>
        <w:t>万元，增长</w:t>
      </w:r>
      <w:r>
        <w:rPr>
          <w:rFonts w:hint="eastAsia" w:ascii="仿宋_GB2312" w:eastAsia="仿宋_GB2312"/>
          <w:sz w:val="32"/>
          <w:szCs w:val="32"/>
          <w:lang w:val="en-US" w:eastAsia="zh-CN"/>
        </w:rPr>
        <w:t>3.43</w:t>
      </w:r>
      <w:r>
        <w:rPr>
          <w:rFonts w:ascii="仿宋_GB2312" w:eastAsia="仿宋_GB2312"/>
          <w:sz w:val="32"/>
          <w:szCs w:val="32"/>
        </w:rPr>
        <w:t>%,</w:t>
      </w:r>
      <w:r>
        <w:rPr>
          <w:rFonts w:hint="eastAsia" w:ascii="仿宋_GB2312" w:eastAsia="仿宋_GB2312"/>
          <w:sz w:val="32"/>
          <w:szCs w:val="32"/>
        </w:rPr>
        <w:t>原因是</w:t>
      </w:r>
      <w:r>
        <w:rPr>
          <w:rFonts w:hint="eastAsia" w:ascii="仿宋_GB2312" w:eastAsia="仿宋_GB2312"/>
          <w:sz w:val="32"/>
          <w:szCs w:val="32"/>
          <w:lang w:eastAsia="zh-CN"/>
        </w:rPr>
        <w:t>工会经费和福利费有所增加</w:t>
      </w:r>
      <w:r>
        <w:rPr>
          <w:rFonts w:hint="eastAsia" w:ascii="仿宋_GB2312" w:eastAsia="仿宋_GB2312"/>
          <w:sz w:val="32"/>
          <w:szCs w:val="32"/>
        </w:rPr>
        <w:t>。</w:t>
      </w:r>
    </w:p>
    <w:p>
      <w:pPr>
        <w:widowControl w:val="0"/>
        <w:wordWrap/>
        <w:adjustRightInd/>
        <w:snapToGrid/>
        <w:spacing w:line="600" w:lineRule="exact"/>
        <w:ind w:firstLine="643" w:firstLineChars="200"/>
        <w:textAlignment w:val="auto"/>
        <w:rPr>
          <w:rFonts w:ascii="仿宋_GB2312" w:eastAsia="仿宋_GB2312"/>
          <w:b/>
          <w:sz w:val="32"/>
          <w:szCs w:val="32"/>
        </w:rPr>
      </w:pPr>
      <w:r>
        <w:rPr>
          <w:rFonts w:hint="eastAsia" w:ascii="仿宋_GB2312" w:eastAsia="仿宋_GB2312"/>
          <w:b/>
          <w:sz w:val="32"/>
          <w:szCs w:val="32"/>
        </w:rPr>
        <w:t>四、政府采购情况</w:t>
      </w:r>
    </w:p>
    <w:p>
      <w:pPr>
        <w:widowControl w:val="0"/>
        <w:wordWrap/>
        <w:adjustRightInd/>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年浮山县</w:t>
      </w:r>
      <w:r>
        <w:rPr>
          <w:rFonts w:hint="eastAsia" w:ascii="仿宋_GB2312" w:eastAsia="仿宋_GB2312"/>
          <w:sz w:val="32"/>
          <w:szCs w:val="32"/>
          <w:lang w:val="en-US" w:eastAsia="zh-CN"/>
        </w:rPr>
        <w:t>供销合作社联合社</w:t>
      </w:r>
      <w:r>
        <w:rPr>
          <w:rFonts w:hint="eastAsia" w:ascii="仿宋_GB2312" w:eastAsia="仿宋_GB2312"/>
          <w:sz w:val="32"/>
          <w:szCs w:val="32"/>
        </w:rPr>
        <w:t>政府采购预算总额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 xml:space="preserve">0 </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0</w:t>
      </w:r>
      <w:r>
        <w:rPr>
          <w:rFonts w:hint="eastAsia" w:ascii="仿宋_GB2312" w:eastAsia="仿宋_GB2312"/>
          <w:sz w:val="32"/>
          <w:szCs w:val="32"/>
        </w:rPr>
        <w:t>万元。</w:t>
      </w:r>
    </w:p>
    <w:p>
      <w:pPr>
        <w:widowControl w:val="0"/>
        <w:wordWrap/>
        <w:adjustRightInd/>
        <w:snapToGrid/>
        <w:spacing w:line="600" w:lineRule="exact"/>
        <w:ind w:firstLine="643" w:firstLineChars="200"/>
        <w:textAlignment w:val="auto"/>
        <w:rPr>
          <w:rFonts w:ascii="仿宋_GB2312" w:eastAsia="仿宋_GB2312"/>
          <w:b/>
          <w:sz w:val="32"/>
          <w:szCs w:val="32"/>
        </w:rPr>
      </w:pPr>
      <w:r>
        <w:rPr>
          <w:rFonts w:hint="eastAsia" w:ascii="仿宋_GB2312" w:eastAsia="仿宋_GB2312"/>
          <w:b/>
          <w:sz w:val="32"/>
          <w:szCs w:val="32"/>
        </w:rPr>
        <w:t>五、关于国有资产占用情况说明</w:t>
      </w:r>
    </w:p>
    <w:p>
      <w:pPr>
        <w:widowControl w:val="0"/>
        <w:wordWrap/>
        <w:adjustRightInd/>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 xml:space="preserve">149.88    </w:t>
      </w:r>
      <w:r>
        <w:rPr>
          <w:rFonts w:hint="eastAsia" w:ascii="仿宋_GB2312" w:eastAsia="仿宋_GB2312"/>
          <w:sz w:val="32"/>
          <w:szCs w:val="32"/>
        </w:rPr>
        <w:t>万元。本单位共有车辆</w:t>
      </w:r>
      <w:r>
        <w:rPr>
          <w:rFonts w:hint="eastAsia" w:ascii="仿宋_GB2312" w:eastAsia="仿宋_GB2312"/>
          <w:sz w:val="32"/>
          <w:szCs w:val="32"/>
          <w:lang w:val="en-US" w:eastAsia="zh-CN"/>
        </w:rPr>
        <w:t>2</w:t>
      </w:r>
      <w:r>
        <w:rPr>
          <w:rFonts w:hint="eastAsia" w:ascii="仿宋_GB2312" w:eastAsia="仿宋_GB2312"/>
          <w:sz w:val="32"/>
          <w:szCs w:val="32"/>
        </w:rPr>
        <w:t>辆，其中一般公务用车</w:t>
      </w:r>
      <w:r>
        <w:rPr>
          <w:rFonts w:hint="eastAsia" w:ascii="仿宋_GB2312" w:eastAsia="仿宋_GB2312"/>
          <w:sz w:val="32"/>
          <w:szCs w:val="32"/>
          <w:lang w:val="en-US" w:eastAsia="zh-CN"/>
        </w:rPr>
        <w:t xml:space="preserve">0 </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pPr>
        <w:widowControl w:val="0"/>
        <w:wordWrap/>
        <w:adjustRightInd/>
        <w:snapToGrid/>
        <w:spacing w:line="600" w:lineRule="exact"/>
        <w:ind w:firstLine="640" w:firstLineChars="200"/>
        <w:textAlignment w:val="auto"/>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widowControl w:val="0"/>
        <w:wordWrap/>
        <w:adjustRightInd/>
        <w:snapToGrid/>
        <w:spacing w:line="600" w:lineRule="exact"/>
        <w:ind w:firstLine="640" w:firstLineChars="200"/>
        <w:textAlignment w:val="auto"/>
        <w:rPr>
          <w:rFonts w:hint="eastAsia" w:ascii="黑体" w:eastAsia="黑体"/>
          <w:sz w:val="32"/>
          <w:szCs w:val="32"/>
        </w:rPr>
      </w:pPr>
      <w:r>
        <w:rPr>
          <w:rFonts w:hint="eastAsia" w:ascii="仿宋_GB2312" w:eastAsia="仿宋_GB2312" w:cs="Times New Roman"/>
          <w:sz w:val="32"/>
          <w:szCs w:val="32"/>
          <w:lang w:val="en-US" w:eastAsia="zh-CN"/>
        </w:rPr>
        <w:t xml:space="preserve"> 2019年部门预算我单位无重点项目支出</w:t>
      </w:r>
    </w:p>
    <w:p>
      <w:pPr>
        <w:widowControl w:val="0"/>
        <w:wordWrap/>
        <w:adjustRightInd/>
        <w:snapToGrid/>
        <w:spacing w:line="600" w:lineRule="exact"/>
        <w:jc w:val="center"/>
        <w:textAlignment w:val="auto"/>
        <w:rPr>
          <w:rFonts w:hint="eastAsia" w:ascii="黑体" w:eastAsia="黑体"/>
          <w:sz w:val="32"/>
          <w:szCs w:val="32"/>
        </w:rPr>
      </w:pPr>
    </w:p>
    <w:p>
      <w:pPr>
        <w:widowControl w:val="0"/>
        <w:wordWrap/>
        <w:adjustRightInd/>
        <w:snapToGrid/>
        <w:spacing w:line="600" w:lineRule="exact"/>
        <w:ind w:firstLine="2880" w:firstLineChars="900"/>
        <w:jc w:val="both"/>
        <w:textAlignment w:val="auto"/>
        <w:rPr>
          <w:rFonts w:hint="eastAsia" w:ascii="黑体" w:eastAsia="黑体"/>
          <w:sz w:val="32"/>
          <w:szCs w:val="32"/>
        </w:rPr>
      </w:pPr>
    </w:p>
    <w:p>
      <w:pPr>
        <w:widowControl w:val="0"/>
        <w:wordWrap/>
        <w:adjustRightInd/>
        <w:snapToGrid/>
        <w:spacing w:line="600" w:lineRule="exact"/>
        <w:ind w:firstLine="2880" w:firstLineChars="900"/>
        <w:jc w:val="both"/>
        <w:textAlignment w:val="auto"/>
        <w:rPr>
          <w:rFonts w:hint="eastAsia" w:ascii="黑体" w:eastAsia="黑体"/>
          <w:sz w:val="32"/>
          <w:szCs w:val="32"/>
        </w:rPr>
      </w:pPr>
    </w:p>
    <w:p>
      <w:pPr>
        <w:widowControl w:val="0"/>
        <w:wordWrap/>
        <w:adjustRightInd/>
        <w:snapToGrid/>
        <w:spacing w:line="600" w:lineRule="exact"/>
        <w:ind w:firstLine="2880" w:firstLineChars="900"/>
        <w:jc w:val="both"/>
        <w:textAlignment w:val="auto"/>
        <w:rPr>
          <w:rFonts w:hint="eastAsia" w:ascii="黑体" w:eastAsia="黑体"/>
          <w:sz w:val="32"/>
          <w:szCs w:val="32"/>
        </w:rPr>
      </w:pPr>
    </w:p>
    <w:p>
      <w:pPr>
        <w:widowControl w:val="0"/>
        <w:wordWrap/>
        <w:adjustRightInd/>
        <w:snapToGrid/>
        <w:spacing w:line="600" w:lineRule="exact"/>
        <w:ind w:firstLine="2880" w:firstLineChars="900"/>
        <w:jc w:val="both"/>
        <w:textAlignment w:val="auto"/>
        <w:rPr>
          <w:rFonts w:hint="eastAsia" w:ascii="黑体" w:eastAsia="黑体"/>
          <w:sz w:val="32"/>
          <w:szCs w:val="32"/>
        </w:rPr>
      </w:pPr>
    </w:p>
    <w:p>
      <w:pPr>
        <w:widowControl w:val="0"/>
        <w:wordWrap/>
        <w:adjustRightInd/>
        <w:snapToGrid/>
        <w:spacing w:line="600" w:lineRule="exact"/>
        <w:ind w:firstLine="2880" w:firstLineChars="900"/>
        <w:jc w:val="both"/>
        <w:textAlignment w:val="auto"/>
        <w:rPr>
          <w:rFonts w:hint="eastAsia" w:ascii="黑体" w:eastAsia="黑体"/>
          <w:sz w:val="32"/>
          <w:szCs w:val="32"/>
        </w:rPr>
      </w:pPr>
    </w:p>
    <w:p>
      <w:pPr>
        <w:widowControl w:val="0"/>
        <w:wordWrap/>
        <w:adjustRightInd/>
        <w:snapToGrid/>
        <w:spacing w:line="600" w:lineRule="exact"/>
        <w:ind w:firstLine="2880" w:firstLineChars="900"/>
        <w:jc w:val="both"/>
        <w:textAlignment w:val="auto"/>
        <w:rPr>
          <w:rFonts w:hint="eastAsia" w:ascii="黑体" w:eastAsia="黑体"/>
          <w:sz w:val="32"/>
          <w:szCs w:val="32"/>
        </w:rPr>
      </w:pPr>
    </w:p>
    <w:p>
      <w:pPr>
        <w:widowControl w:val="0"/>
        <w:wordWrap/>
        <w:adjustRightInd/>
        <w:snapToGrid/>
        <w:spacing w:line="600" w:lineRule="exact"/>
        <w:ind w:firstLine="2880" w:firstLineChars="900"/>
        <w:jc w:val="both"/>
        <w:textAlignment w:val="auto"/>
        <w:rPr>
          <w:rFonts w:hint="eastAsia" w:ascii="黑体" w:eastAsia="黑体"/>
          <w:sz w:val="32"/>
          <w:szCs w:val="32"/>
        </w:rPr>
      </w:pPr>
    </w:p>
    <w:p>
      <w:pPr>
        <w:widowControl w:val="0"/>
        <w:wordWrap/>
        <w:adjustRightInd/>
        <w:snapToGrid/>
        <w:spacing w:line="600" w:lineRule="exact"/>
        <w:ind w:firstLine="2880" w:firstLineChars="900"/>
        <w:jc w:val="both"/>
        <w:textAlignment w:val="auto"/>
        <w:rPr>
          <w:rFonts w:hint="eastAsia" w:ascii="黑体" w:eastAsia="黑体"/>
          <w:sz w:val="32"/>
          <w:szCs w:val="32"/>
        </w:rPr>
      </w:pPr>
    </w:p>
    <w:p>
      <w:pPr>
        <w:widowControl w:val="0"/>
        <w:wordWrap/>
        <w:adjustRightInd/>
        <w:snapToGrid/>
        <w:spacing w:line="600" w:lineRule="exact"/>
        <w:ind w:firstLine="2880" w:firstLineChars="900"/>
        <w:jc w:val="both"/>
        <w:textAlignment w:val="auto"/>
        <w:rPr>
          <w:rFonts w:hint="eastAsia" w:ascii="黑体" w:eastAsia="黑体"/>
          <w:sz w:val="32"/>
          <w:szCs w:val="32"/>
        </w:rPr>
      </w:pPr>
    </w:p>
    <w:p>
      <w:pPr>
        <w:widowControl w:val="0"/>
        <w:wordWrap/>
        <w:adjustRightInd/>
        <w:snapToGrid/>
        <w:spacing w:line="600" w:lineRule="exact"/>
        <w:ind w:firstLine="2880" w:firstLineChars="900"/>
        <w:jc w:val="both"/>
        <w:textAlignment w:val="auto"/>
        <w:rPr>
          <w:rFonts w:hint="eastAsia" w:ascii="黑体" w:eastAsia="黑体"/>
          <w:sz w:val="32"/>
          <w:szCs w:val="32"/>
        </w:rPr>
      </w:pPr>
    </w:p>
    <w:p>
      <w:pPr>
        <w:widowControl w:val="0"/>
        <w:wordWrap/>
        <w:adjustRightInd/>
        <w:snapToGrid/>
        <w:spacing w:line="600" w:lineRule="exact"/>
        <w:ind w:firstLine="2880" w:firstLineChars="900"/>
        <w:jc w:val="both"/>
        <w:textAlignment w:val="auto"/>
        <w:rPr>
          <w:rFonts w:hint="eastAsia" w:ascii="黑体" w:eastAsia="黑体"/>
          <w:sz w:val="32"/>
          <w:szCs w:val="32"/>
        </w:rPr>
      </w:pPr>
    </w:p>
    <w:p>
      <w:pPr>
        <w:widowControl w:val="0"/>
        <w:wordWrap/>
        <w:adjustRightInd/>
        <w:snapToGrid/>
        <w:spacing w:line="600" w:lineRule="exact"/>
        <w:ind w:firstLine="2880" w:firstLineChars="900"/>
        <w:jc w:val="both"/>
        <w:textAlignment w:val="auto"/>
        <w:rPr>
          <w:rFonts w:hint="eastAsia" w:ascii="黑体" w:eastAsia="黑体"/>
          <w:sz w:val="32"/>
          <w:szCs w:val="32"/>
        </w:rPr>
      </w:pPr>
    </w:p>
    <w:p>
      <w:pPr>
        <w:widowControl w:val="0"/>
        <w:wordWrap/>
        <w:adjustRightInd/>
        <w:snapToGrid/>
        <w:spacing w:line="600" w:lineRule="exact"/>
        <w:ind w:firstLine="2880" w:firstLineChars="900"/>
        <w:jc w:val="both"/>
        <w:textAlignment w:val="auto"/>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widowControl w:val="0"/>
        <w:wordWrap/>
        <w:adjustRightInd/>
        <w:snapToGrid/>
        <w:spacing w:line="600" w:lineRule="exact"/>
        <w:ind w:firstLine="643" w:firstLineChars="200"/>
        <w:textAlignment w:val="auto"/>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widowControl w:val="0"/>
        <w:wordWrap/>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工作任务而发生的人员支出和公用支出。</w:t>
      </w:r>
    </w:p>
    <w:p>
      <w:pPr>
        <w:widowControl w:val="0"/>
        <w:wordWrap/>
        <w:adjustRightInd/>
        <w:snapToGrid/>
        <w:spacing w:line="600" w:lineRule="exact"/>
        <w:ind w:firstLine="643" w:firstLineChars="200"/>
        <w:textAlignment w:val="auto"/>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widowControl w:val="0"/>
        <w:wordWrap/>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务和事业发展目标所发生的支出。</w:t>
      </w:r>
    </w:p>
    <w:p>
      <w:pPr>
        <w:widowControl w:val="0"/>
        <w:wordWrap/>
        <w:adjustRightInd/>
        <w:snapToGrid/>
        <w:spacing w:line="600" w:lineRule="exact"/>
        <w:ind w:firstLine="643" w:firstLineChars="200"/>
        <w:textAlignment w:val="auto"/>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val="0"/>
        <w:wordWrap/>
        <w:adjustRightInd/>
        <w:snapToGrid/>
        <w:spacing w:line="600" w:lineRule="exact"/>
        <w:ind w:firstLine="643" w:firstLineChars="200"/>
        <w:textAlignment w:val="auto"/>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widowControl w:val="0"/>
        <w:wordWrap/>
        <w:adjustRightInd/>
        <w:snapToGrid/>
        <w:spacing w:line="600" w:lineRule="exact"/>
        <w:ind w:firstLine="640" w:firstLineChars="200"/>
        <w:textAlignment w:val="auto"/>
        <w:rPr>
          <w:rFonts w:ascii="仿宋_GB2312" w:eastAsia="仿宋_GB2312"/>
          <w:sz w:val="32"/>
          <w:szCs w:val="32"/>
        </w:rPr>
      </w:pPr>
    </w:p>
    <w:p>
      <w:pPr>
        <w:widowControl w:val="0"/>
        <w:wordWrap/>
        <w:adjustRightInd/>
        <w:snapToGrid/>
        <w:spacing w:line="600" w:lineRule="exact"/>
        <w:ind w:firstLine="640" w:firstLineChars="200"/>
        <w:textAlignment w:val="auto"/>
        <w:rPr>
          <w:rFonts w:ascii="仿宋_GB2312" w:eastAsia="仿宋_GB2312"/>
          <w:sz w:val="32"/>
          <w:szCs w:val="32"/>
        </w:rPr>
      </w:pPr>
    </w:p>
    <w:p>
      <w:pPr>
        <w:widowControl w:val="0"/>
        <w:wordWrap/>
        <w:adjustRightInd/>
        <w:snapToGrid/>
        <w:spacing w:line="600" w:lineRule="exact"/>
        <w:ind w:firstLine="640" w:firstLineChars="200"/>
        <w:textAlignment w:val="auto"/>
        <w:rPr>
          <w:rFonts w:ascii="仿宋_GB2312" w:eastAsia="仿宋_GB2312"/>
          <w:sz w:val="32"/>
          <w:szCs w:val="32"/>
        </w:rPr>
      </w:pPr>
    </w:p>
    <w:p>
      <w:pPr>
        <w:widowControl w:val="0"/>
        <w:wordWrap/>
        <w:adjustRightInd/>
        <w:snapToGrid/>
        <w:spacing w:line="600" w:lineRule="exact"/>
        <w:ind w:firstLine="640" w:firstLineChars="200"/>
        <w:textAlignment w:val="auto"/>
        <w:rPr>
          <w:rFonts w:ascii="仿宋_GB2312" w:eastAsia="仿宋_GB2312"/>
          <w:sz w:val="32"/>
          <w:szCs w:val="32"/>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2D260D7"/>
    <w:rsid w:val="088E0DB5"/>
    <w:rsid w:val="0E0A19CE"/>
    <w:rsid w:val="0E7D52BD"/>
    <w:rsid w:val="124610C2"/>
    <w:rsid w:val="14EF6856"/>
    <w:rsid w:val="16133F8B"/>
    <w:rsid w:val="2425476E"/>
    <w:rsid w:val="26B974F8"/>
    <w:rsid w:val="2E6D615E"/>
    <w:rsid w:val="2E7F1E1F"/>
    <w:rsid w:val="3BE82FEE"/>
    <w:rsid w:val="3D2F7C22"/>
    <w:rsid w:val="3F6E716D"/>
    <w:rsid w:val="43B66934"/>
    <w:rsid w:val="479A0FE7"/>
    <w:rsid w:val="4B514583"/>
    <w:rsid w:val="4FBD45A6"/>
    <w:rsid w:val="50F676E6"/>
    <w:rsid w:val="51A402DC"/>
    <w:rsid w:val="58942D15"/>
    <w:rsid w:val="58D477C0"/>
    <w:rsid w:val="5CB14BD2"/>
    <w:rsid w:val="62AF4F45"/>
    <w:rsid w:val="62CF3634"/>
    <w:rsid w:val="69D91484"/>
    <w:rsid w:val="6CFE0545"/>
    <w:rsid w:val="6E055897"/>
    <w:rsid w:val="71030FFD"/>
    <w:rsid w:val="78262520"/>
    <w:rsid w:val="787F0A4F"/>
    <w:rsid w:val="796420F2"/>
    <w:rsid w:val="7BD3164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2019-04-01T03:16:03Z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