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FFE3E">
      <w:pPr>
        <w:spacing w:line="600" w:lineRule="exact"/>
        <w:ind w:firstLine="640" w:firstLineChars="200"/>
        <w:rPr>
          <w:rFonts w:hint="eastAsia" w:ascii="仿宋_GB2312" w:eastAsia="仿宋_GB2312"/>
          <w:sz w:val="32"/>
          <w:szCs w:val="32"/>
          <w:lang w:eastAsia="zh-CN"/>
        </w:rPr>
      </w:pPr>
    </w:p>
    <w:p w14:paraId="334AF32E">
      <w:pPr>
        <w:spacing w:line="600" w:lineRule="exact"/>
        <w:jc w:val="center"/>
        <w:rPr>
          <w:rFonts w:ascii="宋体"/>
          <w:b/>
          <w:sz w:val="44"/>
          <w:szCs w:val="44"/>
        </w:rPr>
      </w:pPr>
      <w:r>
        <w:rPr>
          <w:rFonts w:hint="eastAsia" w:ascii="宋体" w:hAnsi="宋体"/>
          <w:b/>
          <w:sz w:val="44"/>
          <w:szCs w:val="44"/>
        </w:rPr>
        <w:t>浮山县局2019年度部门预算信息公开</w:t>
      </w:r>
    </w:p>
    <w:p w14:paraId="7D09B2E3">
      <w:pPr>
        <w:spacing w:line="600" w:lineRule="exact"/>
        <w:ind w:firstLine="640" w:firstLineChars="200"/>
        <w:rPr>
          <w:rFonts w:ascii="仿宋_GB2312" w:eastAsia="仿宋_GB2312"/>
          <w:sz w:val="32"/>
          <w:szCs w:val="32"/>
        </w:rPr>
      </w:pPr>
    </w:p>
    <w:p w14:paraId="18B9A10E">
      <w:pPr>
        <w:spacing w:line="600" w:lineRule="exact"/>
        <w:jc w:val="center"/>
        <w:rPr>
          <w:rFonts w:ascii="黑体" w:eastAsia="黑体"/>
          <w:sz w:val="32"/>
          <w:szCs w:val="32"/>
        </w:rPr>
      </w:pPr>
      <w:r>
        <w:rPr>
          <w:rFonts w:hint="eastAsia" w:ascii="黑体" w:eastAsia="黑体"/>
          <w:sz w:val="32"/>
          <w:szCs w:val="32"/>
        </w:rPr>
        <w:t>第一部分概况</w:t>
      </w:r>
    </w:p>
    <w:p w14:paraId="4347BC8F">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一、本部门职责</w:t>
      </w:r>
    </w:p>
    <w:p w14:paraId="371CFE89">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中小企业服务中心围绕全县经济工作会议精神和全县中小企业工作目标，提高了办事效率，优化了发展环境，有力地促进了全县中小企业发展。強化对企业经营管理，加大了小升规企业的培育，有利带动了全县中小企业科技创新和管理创新。加强中小企业人才培育，通过省市各种培育班和科技人员技术职称评定，为企业经营管理培育了人才，促进了企业人才队伍建设。加大了对企业服务力度。充分发挥县小微企业服务站功能，为全县中小企业提供</w:t>
      </w:r>
      <w:r>
        <w:rPr>
          <w:rFonts w:hint="eastAsia" w:ascii="仿宋_GB2312" w:hAnsi="楷体" w:eastAsia="仿宋_GB2312"/>
          <w:kern w:val="0"/>
          <w:sz w:val="32"/>
          <w:szCs w:val="32"/>
          <w:lang w:eastAsia="zh-CN"/>
        </w:rPr>
        <w:t>咨</w:t>
      </w:r>
      <w:r>
        <w:rPr>
          <w:rFonts w:hint="eastAsia" w:ascii="仿宋_GB2312" w:hAnsi="楷体" w:eastAsia="仿宋_GB2312"/>
          <w:kern w:val="0"/>
          <w:sz w:val="32"/>
          <w:szCs w:val="32"/>
        </w:rPr>
        <w:t>询，办证，</w:t>
      </w:r>
      <w:r>
        <w:rPr>
          <w:rFonts w:hint="eastAsia" w:ascii="仿宋_GB2312" w:hAnsi="楷体" w:eastAsia="仿宋_GB2312"/>
          <w:kern w:val="0"/>
          <w:sz w:val="32"/>
          <w:szCs w:val="32"/>
          <w:lang w:eastAsia="zh-CN"/>
        </w:rPr>
        <w:t>账</w:t>
      </w:r>
      <w:r>
        <w:rPr>
          <w:rFonts w:hint="eastAsia" w:ascii="仿宋_GB2312" w:hAnsi="楷体" w:eastAsia="仿宋_GB2312"/>
          <w:kern w:val="0"/>
          <w:sz w:val="32"/>
          <w:szCs w:val="32"/>
        </w:rPr>
        <w:t>务，开户，贷款，审核等全方位服务，促进了中小企业健康发展。</w:t>
      </w:r>
    </w:p>
    <w:p w14:paraId="31C638A0">
      <w:pPr>
        <w:widowControl/>
        <w:numPr>
          <w:ilvl w:val="0"/>
          <w:numId w:val="1"/>
        </w:numPr>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机构设置情况</w:t>
      </w:r>
      <w:bookmarkStart w:id="0" w:name="_GoBack"/>
      <w:bookmarkEnd w:id="0"/>
    </w:p>
    <w:p w14:paraId="27607DCF">
      <w:pPr>
        <w:widowControl/>
        <w:spacing w:line="560" w:lineRule="exact"/>
        <w:ind w:firstLine="960" w:firstLineChars="300"/>
        <w:rPr>
          <w:rFonts w:ascii="仿宋_GB2312" w:hAnsi="楷体" w:eastAsia="仿宋_GB2312"/>
          <w:kern w:val="0"/>
          <w:sz w:val="32"/>
          <w:szCs w:val="32"/>
        </w:rPr>
      </w:pPr>
      <w:r>
        <w:rPr>
          <w:rFonts w:hint="eastAsia" w:ascii="仿宋_GB2312" w:hAnsi="楷体" w:eastAsia="仿宋_GB2312"/>
          <w:kern w:val="0"/>
          <w:sz w:val="32"/>
          <w:szCs w:val="32"/>
        </w:rPr>
        <w:t>中小企业服务中心是指导协调服务全县中小企业发展的职能部门</w:t>
      </w:r>
      <w:r>
        <w:rPr>
          <w:rFonts w:hint="eastAsia" w:ascii="仿宋_GB2312" w:hAnsi="楷体" w:eastAsia="仿宋_GB2312"/>
          <w:kern w:val="0"/>
          <w:sz w:val="32"/>
          <w:szCs w:val="32"/>
          <w:lang w:val="en-US" w:eastAsia="zh-CN"/>
        </w:rPr>
        <w:t>,</w:t>
      </w:r>
      <w:r>
        <w:rPr>
          <w:rFonts w:hint="eastAsia" w:ascii="仿宋_GB2312" w:hAnsi="楷体" w:eastAsia="仿宋_GB2312"/>
          <w:kern w:val="0"/>
          <w:sz w:val="32"/>
          <w:szCs w:val="32"/>
        </w:rPr>
        <w:t>内设办公室</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发展规划股</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产业指导股</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中小企业教育培训中心</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干部职工在职18人</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负责全县中小企业发展规划</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招商引资</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重点项目经贸洽谈</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产品展销</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教育培训</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企业转型经济运行等事宜</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并为全县中小企业转型夸越发展提供政策咨询</w:t>
      </w:r>
      <w:r>
        <w:rPr>
          <w:rFonts w:hint="eastAsia" w:ascii="仿宋_GB2312" w:hAnsi="楷体" w:eastAsia="仿宋_GB2312"/>
          <w:kern w:val="0"/>
          <w:sz w:val="32"/>
          <w:szCs w:val="32"/>
          <w:lang w:eastAsia="zh-CN"/>
        </w:rPr>
        <w:t>、</w:t>
      </w:r>
      <w:r>
        <w:rPr>
          <w:rFonts w:hint="eastAsia" w:ascii="仿宋_GB2312" w:hAnsi="楷体" w:eastAsia="仿宋_GB2312"/>
          <w:kern w:val="0"/>
          <w:sz w:val="32"/>
          <w:szCs w:val="32"/>
        </w:rPr>
        <w:t>刨业辅导引资融资等提供便利全方位服务。</w:t>
      </w:r>
    </w:p>
    <w:p w14:paraId="1408EBB9">
      <w:pPr>
        <w:spacing w:line="600" w:lineRule="exact"/>
        <w:ind w:firstLine="640" w:firstLineChars="200"/>
        <w:rPr>
          <w:rFonts w:ascii="仿宋_GB2312" w:eastAsia="仿宋_GB2312"/>
          <w:sz w:val="32"/>
          <w:szCs w:val="32"/>
        </w:rPr>
      </w:pPr>
    </w:p>
    <w:p w14:paraId="730A9AAB">
      <w:pPr>
        <w:spacing w:line="600" w:lineRule="exact"/>
        <w:jc w:val="center"/>
        <w:rPr>
          <w:rFonts w:ascii="黑体" w:eastAsia="黑体"/>
          <w:sz w:val="32"/>
          <w:szCs w:val="32"/>
        </w:rPr>
      </w:pPr>
      <w:r>
        <w:rPr>
          <w:rFonts w:hint="eastAsia" w:ascii="黑体" w:eastAsia="黑体"/>
          <w:sz w:val="32"/>
          <w:szCs w:val="32"/>
        </w:rPr>
        <w:t>第二部分2019年度部门预算报表</w:t>
      </w:r>
    </w:p>
    <w:p w14:paraId="32A819E8">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中小企业局</w:t>
      </w:r>
      <w:r>
        <w:rPr>
          <w:rFonts w:hint="eastAsia" w:ascii="仿宋_GB2312" w:eastAsia="仿宋_GB2312"/>
          <w:sz w:val="32"/>
          <w:szCs w:val="32"/>
        </w:rPr>
        <w:t>2019年预算收支总表</w:t>
      </w:r>
    </w:p>
    <w:p w14:paraId="2F476085">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中小企业局</w:t>
      </w:r>
      <w:r>
        <w:rPr>
          <w:rFonts w:hint="eastAsia" w:ascii="仿宋_GB2312" w:eastAsia="仿宋_GB2312"/>
          <w:sz w:val="32"/>
          <w:szCs w:val="32"/>
        </w:rPr>
        <w:t>2019年预算收入总表</w:t>
      </w:r>
    </w:p>
    <w:p w14:paraId="0C615A37">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中小企业局</w:t>
      </w:r>
      <w:r>
        <w:rPr>
          <w:rFonts w:hint="eastAsia" w:ascii="仿宋_GB2312" w:eastAsia="仿宋_GB2312"/>
          <w:sz w:val="32"/>
          <w:szCs w:val="32"/>
        </w:rPr>
        <w:t>2019年预算支出总表</w:t>
      </w:r>
    </w:p>
    <w:p w14:paraId="502E6A8E">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中小企业局</w:t>
      </w:r>
      <w:r>
        <w:rPr>
          <w:rFonts w:hint="eastAsia" w:ascii="仿宋_GB2312" w:eastAsia="仿宋_GB2312"/>
          <w:sz w:val="32"/>
          <w:szCs w:val="32"/>
        </w:rPr>
        <w:t>2019年财政拨款收支总表</w:t>
      </w:r>
    </w:p>
    <w:p w14:paraId="5521658F">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中小企业局</w:t>
      </w:r>
      <w:r>
        <w:rPr>
          <w:rFonts w:hint="eastAsia" w:ascii="仿宋_GB2312" w:eastAsia="仿宋_GB2312"/>
          <w:sz w:val="32"/>
          <w:szCs w:val="32"/>
        </w:rPr>
        <w:t>2019年一般公共预算支出预算表</w:t>
      </w:r>
    </w:p>
    <w:p w14:paraId="4A1B3516">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中小企业局</w:t>
      </w:r>
      <w:r>
        <w:rPr>
          <w:rFonts w:hint="eastAsia" w:ascii="仿宋_GB2312" w:eastAsia="仿宋_GB2312"/>
          <w:sz w:val="32"/>
          <w:szCs w:val="32"/>
        </w:rPr>
        <w:t>2019年一般公共预算安排基本支出分经济科目表</w:t>
      </w:r>
    </w:p>
    <w:p w14:paraId="5C03DF3D">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中小企业局</w:t>
      </w:r>
      <w:r>
        <w:rPr>
          <w:rFonts w:hint="eastAsia" w:ascii="仿宋_GB2312" w:eastAsia="仿宋_GB2312"/>
          <w:sz w:val="32"/>
          <w:szCs w:val="32"/>
        </w:rPr>
        <w:t>2019年政府性基金预算收入预算表</w:t>
      </w:r>
    </w:p>
    <w:p w14:paraId="376E618F">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中小企业局</w:t>
      </w:r>
      <w:r>
        <w:rPr>
          <w:rFonts w:hint="eastAsia" w:ascii="仿宋_GB2312" w:eastAsia="仿宋_GB2312"/>
          <w:sz w:val="32"/>
          <w:szCs w:val="32"/>
        </w:rPr>
        <w:t>2019年政府性基金预算支出预算表</w:t>
      </w:r>
    </w:p>
    <w:p w14:paraId="1CEFDE1B">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中小企业局</w:t>
      </w:r>
      <w:r>
        <w:rPr>
          <w:rFonts w:hint="eastAsia" w:ascii="仿宋_GB2312" w:eastAsia="仿宋_GB2312"/>
          <w:sz w:val="32"/>
          <w:szCs w:val="32"/>
        </w:rPr>
        <w:t>2019年“三公”经费预算财政拨款情况统计表</w:t>
      </w:r>
    </w:p>
    <w:p w14:paraId="26A2D858">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中小企业局</w:t>
      </w:r>
      <w:r>
        <w:rPr>
          <w:rFonts w:hint="eastAsia" w:ascii="仿宋_GB2312" w:eastAsia="仿宋_GB2312"/>
          <w:sz w:val="32"/>
          <w:szCs w:val="32"/>
        </w:rPr>
        <w:t>2019年机关运行经费预算财政拨款情况统计表</w:t>
      </w:r>
    </w:p>
    <w:p w14:paraId="03A85A42">
      <w:pPr>
        <w:spacing w:line="600" w:lineRule="exact"/>
        <w:jc w:val="center"/>
        <w:rPr>
          <w:rFonts w:ascii="黑体" w:eastAsia="黑体"/>
          <w:sz w:val="32"/>
          <w:szCs w:val="32"/>
        </w:rPr>
      </w:pPr>
      <w:r>
        <w:rPr>
          <w:rFonts w:hint="eastAsia" w:ascii="黑体" w:eastAsia="黑体"/>
          <w:sz w:val="32"/>
          <w:szCs w:val="32"/>
        </w:rPr>
        <w:t>第三部分2019年度部门预算情况说明</w:t>
      </w:r>
    </w:p>
    <w:p w14:paraId="250FB6DA">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14:paraId="30EB320C">
      <w:pPr>
        <w:spacing w:line="600" w:lineRule="exact"/>
        <w:ind w:left="638" w:leftChars="304" w:firstLine="640" w:firstLineChars="200"/>
        <w:rPr>
          <w:rFonts w:hint="default" w:ascii="仿宋_GB2312" w:eastAsia="仿宋_GB2312"/>
          <w:sz w:val="32"/>
          <w:szCs w:val="32"/>
          <w:lang w:val="en-US" w:eastAsia="zh-CN"/>
        </w:rPr>
      </w:pPr>
      <w:r>
        <w:rPr>
          <w:rFonts w:hint="eastAsia" w:ascii="仿宋_GB2312" w:eastAsia="仿宋_GB2312"/>
          <w:sz w:val="32"/>
          <w:szCs w:val="32"/>
        </w:rPr>
        <w:t>浮山县2019年部门预算112万元，比2018年预算增加7.43万元。其中：工资福利支出比2018年增加了3.12万元，增加原因为</w:t>
      </w:r>
      <w:r>
        <w:rPr>
          <w:rFonts w:hint="eastAsia" w:ascii="仿宋_GB2312" w:eastAsia="仿宋_GB2312"/>
          <w:sz w:val="32"/>
          <w:szCs w:val="32"/>
          <w:lang w:eastAsia="zh-CN"/>
        </w:rPr>
        <w:t>人员调资、调标</w:t>
      </w:r>
      <w:r>
        <w:rPr>
          <w:rFonts w:hint="eastAsia" w:ascii="仿宋_GB2312" w:eastAsia="仿宋_GB2312"/>
          <w:sz w:val="32"/>
          <w:szCs w:val="32"/>
        </w:rPr>
        <w:t>。商品和服务支出</w:t>
      </w:r>
      <w:r>
        <w:rPr>
          <w:rFonts w:hint="eastAsia" w:ascii="仿宋_GB2312" w:eastAsia="仿宋_GB2312"/>
          <w:sz w:val="32"/>
          <w:szCs w:val="32"/>
          <w:lang w:eastAsia="zh-CN"/>
        </w:rPr>
        <w:t>比</w:t>
      </w:r>
      <w:r>
        <w:rPr>
          <w:rFonts w:hint="eastAsia" w:ascii="仿宋_GB2312" w:eastAsia="仿宋_GB2312"/>
          <w:sz w:val="32"/>
          <w:szCs w:val="32"/>
        </w:rPr>
        <w:t>2018年增加了0.01万元，</w:t>
      </w:r>
      <w:r>
        <w:rPr>
          <w:rFonts w:hint="eastAsia" w:ascii="仿宋_GB2312" w:eastAsia="仿宋_GB2312"/>
          <w:sz w:val="32"/>
          <w:szCs w:val="32"/>
          <w:lang w:eastAsia="zh-CN"/>
        </w:rPr>
        <w:t>基本持平</w:t>
      </w:r>
      <w:r>
        <w:rPr>
          <w:rFonts w:hint="eastAsia" w:ascii="仿宋_GB2312" w:eastAsia="仿宋_GB2312"/>
          <w:sz w:val="32"/>
          <w:szCs w:val="32"/>
        </w:rPr>
        <w:t>。对个人和家庭补助支出比2018年增加了4.13万元</w:t>
      </w:r>
      <w:r>
        <w:rPr>
          <w:rFonts w:hint="eastAsia" w:ascii="仿宋_GB2312" w:eastAsia="仿宋_GB2312"/>
          <w:sz w:val="32"/>
          <w:szCs w:val="32"/>
          <w:lang w:eastAsia="zh-CN"/>
        </w:rPr>
        <w:t>，增加原因为</w:t>
      </w:r>
      <w:r>
        <w:rPr>
          <w:rFonts w:hint="eastAsia" w:ascii="仿宋_GB2312" w:eastAsia="仿宋_GB2312"/>
          <w:sz w:val="32"/>
          <w:szCs w:val="32"/>
          <w:lang w:val="en-US" w:eastAsia="zh-CN"/>
        </w:rPr>
        <w:t>2019年退休人员取暖费列入财政发放。</w:t>
      </w:r>
    </w:p>
    <w:p w14:paraId="6215AA5D">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7C2DA38E">
      <w:pPr>
        <w:spacing w:line="600" w:lineRule="exact"/>
        <w:ind w:firstLine="640" w:firstLineChars="200"/>
        <w:rPr>
          <w:rFonts w:ascii="仿宋_GB2312" w:eastAsia="仿宋_GB2312"/>
          <w:sz w:val="32"/>
          <w:szCs w:val="32"/>
        </w:rPr>
      </w:pPr>
      <w:r>
        <w:rPr>
          <w:rFonts w:hint="eastAsia" w:ascii="仿宋_GB2312" w:eastAsia="仿宋_GB2312"/>
          <w:sz w:val="32"/>
          <w:szCs w:val="32"/>
        </w:rPr>
        <w:t>2019年一般公共预算安排的“三公”经费预算0万元。其中：因公出国（境）费用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万元，比上年无变化；公务接待费0万元，比上年无变化。公务用车运行维护费0万元，比上年无变化；公务用车购置费</w:t>
      </w:r>
      <w:r>
        <w:rPr>
          <w:rFonts w:ascii="仿宋_GB2312" w:eastAsia="仿宋_GB2312"/>
          <w:sz w:val="32"/>
          <w:szCs w:val="32"/>
        </w:rPr>
        <w:t>0</w:t>
      </w:r>
      <w:r>
        <w:rPr>
          <w:rFonts w:hint="eastAsia" w:ascii="仿宋_GB2312" w:eastAsia="仿宋_GB2312"/>
          <w:sz w:val="32"/>
          <w:szCs w:val="32"/>
        </w:rPr>
        <w:t>元，比上年无变化。</w:t>
      </w:r>
    </w:p>
    <w:p w14:paraId="1FAE8289">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5E63E3F1">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中小企业</w:t>
      </w:r>
      <w:r>
        <w:rPr>
          <w:rFonts w:hint="eastAsia" w:ascii="仿宋_GB2312" w:eastAsia="仿宋_GB2312"/>
          <w:sz w:val="32"/>
          <w:szCs w:val="32"/>
        </w:rPr>
        <w:t>局2019年运行经费财政拨款预算8万元，比2018年预算增加0.01万元，</w:t>
      </w:r>
      <w:r>
        <w:rPr>
          <w:rFonts w:hint="eastAsia" w:ascii="仿宋_GB2312" w:eastAsia="仿宋_GB2312"/>
          <w:sz w:val="32"/>
          <w:szCs w:val="32"/>
          <w:lang w:eastAsia="zh-CN"/>
        </w:rPr>
        <w:t>基本持平</w:t>
      </w:r>
      <w:r>
        <w:rPr>
          <w:rFonts w:hint="eastAsia" w:ascii="仿宋_GB2312" w:eastAsia="仿宋_GB2312"/>
          <w:sz w:val="32"/>
          <w:szCs w:val="32"/>
        </w:rPr>
        <w:t>。</w:t>
      </w:r>
    </w:p>
    <w:p w14:paraId="3773B49D">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6DE6A9A2">
      <w:pPr>
        <w:spacing w:line="600" w:lineRule="exact"/>
        <w:ind w:firstLine="640" w:firstLineChars="200"/>
        <w:rPr>
          <w:rFonts w:ascii="仿宋_GB2312" w:eastAsia="仿宋_GB2312"/>
          <w:sz w:val="32"/>
          <w:szCs w:val="32"/>
        </w:rPr>
      </w:pPr>
      <w:r>
        <w:rPr>
          <w:rFonts w:hint="eastAsia" w:ascii="仿宋_GB2312" w:eastAsia="仿宋_GB2312"/>
          <w:sz w:val="32"/>
          <w:szCs w:val="32"/>
        </w:rPr>
        <w:t>2019年浮山县</w:t>
      </w:r>
      <w:r>
        <w:rPr>
          <w:rFonts w:hint="eastAsia" w:ascii="仿宋_GB2312" w:eastAsia="仿宋_GB2312"/>
          <w:sz w:val="32"/>
          <w:szCs w:val="32"/>
          <w:lang w:eastAsia="zh-CN"/>
        </w:rPr>
        <w:t>中小企业</w:t>
      </w:r>
      <w:r>
        <w:rPr>
          <w:rFonts w:hint="eastAsia" w:ascii="仿宋_GB2312" w:eastAsia="仿宋_GB2312"/>
          <w:sz w:val="32"/>
          <w:szCs w:val="32"/>
        </w:rPr>
        <w:t>局政府采购预算总额1万元，其中：政府采购货物预算1万元、政府采购工程预算0万元、政府采购服务预算0万元。</w:t>
      </w:r>
    </w:p>
    <w:p w14:paraId="1BFFB611">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383F598C">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日，本单位固定资产年末数128.13万元。本单位共有车辆0辆，其中一般公务用车辆0，单位价值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14:paraId="0E29C823">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14:paraId="3955F09E">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2019年部门预算我单位无重点项目支出</w:t>
      </w:r>
    </w:p>
    <w:p w14:paraId="37D944E6">
      <w:pPr>
        <w:spacing w:line="600" w:lineRule="exact"/>
        <w:ind w:firstLine="640" w:firstLineChars="200"/>
        <w:rPr>
          <w:rFonts w:ascii="仿宋_GB2312" w:eastAsia="仿宋_GB2312"/>
          <w:sz w:val="32"/>
          <w:szCs w:val="32"/>
        </w:rPr>
      </w:pPr>
    </w:p>
    <w:p w14:paraId="44CCA840">
      <w:pPr>
        <w:spacing w:line="600" w:lineRule="exact"/>
        <w:ind w:firstLine="640" w:firstLineChars="200"/>
        <w:rPr>
          <w:rFonts w:ascii="仿宋_GB2312" w:eastAsia="仿宋_GB2312"/>
          <w:sz w:val="32"/>
          <w:szCs w:val="32"/>
        </w:rPr>
      </w:pPr>
    </w:p>
    <w:p w14:paraId="25837D5F">
      <w:pPr>
        <w:spacing w:line="600" w:lineRule="exact"/>
        <w:jc w:val="center"/>
        <w:rPr>
          <w:rFonts w:ascii="黑体" w:eastAsia="黑体"/>
          <w:sz w:val="32"/>
          <w:szCs w:val="32"/>
        </w:rPr>
      </w:pPr>
      <w:r>
        <w:rPr>
          <w:rFonts w:hint="eastAsia" w:ascii="黑体" w:eastAsia="黑体"/>
          <w:sz w:val="32"/>
          <w:szCs w:val="32"/>
        </w:rPr>
        <w:t>第四部分名词解释</w:t>
      </w:r>
    </w:p>
    <w:p w14:paraId="55118950">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445F6274">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5775903E">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1BDB98F3">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633C76CA">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4539AC11">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50C0E924">
      <w:pPr>
        <w:spacing w:line="600" w:lineRule="exact"/>
        <w:ind w:firstLine="640" w:firstLineChars="200"/>
        <w:rPr>
          <w:rFonts w:ascii="仿宋_GB2312" w:eastAsia="仿宋_GB2312"/>
          <w:sz w:val="32"/>
          <w:szCs w:val="32"/>
        </w:rPr>
      </w:pPr>
    </w:p>
    <w:p w14:paraId="3DF69BD6">
      <w:pPr>
        <w:spacing w:line="600" w:lineRule="exact"/>
        <w:ind w:firstLine="640" w:firstLineChars="200"/>
        <w:rPr>
          <w:rFonts w:ascii="仿宋_GB2312" w:eastAsia="仿宋_GB2312"/>
          <w:sz w:val="32"/>
          <w:szCs w:val="32"/>
        </w:rPr>
      </w:pPr>
    </w:p>
    <w:p w14:paraId="63025098">
      <w:pPr>
        <w:spacing w:line="600" w:lineRule="exact"/>
        <w:ind w:firstLine="640" w:firstLineChars="200"/>
        <w:rPr>
          <w:rFonts w:ascii="仿宋_GB2312" w:eastAsia="仿宋_GB2312"/>
          <w:sz w:val="32"/>
          <w:szCs w:val="32"/>
        </w:rPr>
      </w:pPr>
    </w:p>
    <w:p w14:paraId="05EA7A76">
      <w:pPr>
        <w:spacing w:line="600" w:lineRule="exact"/>
        <w:ind w:firstLine="640" w:firstLineChars="200"/>
        <w:rPr>
          <w:rFonts w:ascii="仿宋_GB2312" w:eastAsia="仿宋_GB2312"/>
          <w:sz w:val="32"/>
          <w:szCs w:val="32"/>
        </w:rPr>
      </w:pPr>
    </w:p>
    <w:p w14:paraId="251266CA">
      <w:pPr>
        <w:spacing w:line="600" w:lineRule="exact"/>
        <w:ind w:firstLine="4480" w:firstLineChars="1400"/>
      </w:pPr>
      <w:r>
        <w:rPr>
          <w:rFonts w:hint="eastAsia" w:ascii="仿宋_GB2312" w:eastAsia="仿宋_GB2312"/>
          <w:sz w:val="32"/>
          <w:szCs w:val="32"/>
        </w:rPr>
        <w:t>二</w:t>
      </w:r>
      <w:r>
        <w:rPr>
          <w:rFonts w:hint="eastAsia" w:ascii="仿宋_GB2312"/>
          <w:sz w:val="32"/>
          <w:szCs w:val="32"/>
        </w:rPr>
        <w:t>〇</w:t>
      </w:r>
      <w:r>
        <w:rPr>
          <w:rFonts w:hint="eastAsia" w:ascii="仿宋_GB2312" w:eastAsia="仿宋_GB2312"/>
          <w:sz w:val="32"/>
          <w:szCs w:val="32"/>
        </w:rPr>
        <w:t>一九年四月十日</w:t>
      </w:r>
    </w:p>
    <w:sectPr>
      <w:headerReference r:id="rId3" w:type="default"/>
      <w:footerReference r:id="rId4"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CF5ED">
    <w:pPr>
      <w:pStyle w:val="3"/>
      <w:framePr w:w="2000" w:h="790" w:hRule="exact" w:wrap="around" w:vAnchor="text" w:hAnchor="page" w:x="1370" w:y="-189"/>
      <w:ind w:firstLine="280" w:firstLineChars="100"/>
      <w:rPr>
        <w:rStyle w:val="8"/>
        <w:rFonts w:ascii="宋体"/>
        <w:sz w:val="28"/>
        <w:szCs w:val="28"/>
      </w:rPr>
    </w:pPr>
    <w:r>
      <w:rPr>
        <w:rStyle w:val="8"/>
        <w:rFonts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18</w:t>
    </w:r>
    <w:r>
      <w:rPr>
        <w:rStyle w:val="8"/>
        <w:rFonts w:ascii="宋体" w:hAnsi="宋体"/>
        <w:sz w:val="28"/>
        <w:szCs w:val="28"/>
      </w:rPr>
      <w:fldChar w:fldCharType="end"/>
    </w:r>
    <w:r>
      <w:rPr>
        <w:rStyle w:val="8"/>
        <w:rFonts w:ascii="宋体" w:hAnsi="宋体"/>
        <w:sz w:val="28"/>
        <w:szCs w:val="28"/>
      </w:rPr>
      <w:t xml:space="preserve"> —</w:t>
    </w:r>
  </w:p>
  <w:p w14:paraId="398CBA48">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CA7C1">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448BC8"/>
    <w:multiLevelType w:val="singleLevel"/>
    <w:tmpl w:val="56448BC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9A5464"/>
    <w:rsid w:val="000079E0"/>
    <w:rsid w:val="000A3658"/>
    <w:rsid w:val="00120BF5"/>
    <w:rsid w:val="001423F1"/>
    <w:rsid w:val="001E360E"/>
    <w:rsid w:val="00211784"/>
    <w:rsid w:val="00246095"/>
    <w:rsid w:val="002650F6"/>
    <w:rsid w:val="00287EBA"/>
    <w:rsid w:val="002D7777"/>
    <w:rsid w:val="00393481"/>
    <w:rsid w:val="0040257E"/>
    <w:rsid w:val="005914FF"/>
    <w:rsid w:val="00593F23"/>
    <w:rsid w:val="005E63F3"/>
    <w:rsid w:val="005E6F9D"/>
    <w:rsid w:val="005E71C2"/>
    <w:rsid w:val="006726F2"/>
    <w:rsid w:val="006943D6"/>
    <w:rsid w:val="006A6151"/>
    <w:rsid w:val="007636CB"/>
    <w:rsid w:val="00795B78"/>
    <w:rsid w:val="007C13F0"/>
    <w:rsid w:val="0082011A"/>
    <w:rsid w:val="0091609A"/>
    <w:rsid w:val="00944474"/>
    <w:rsid w:val="00975919"/>
    <w:rsid w:val="009840B4"/>
    <w:rsid w:val="00987CA2"/>
    <w:rsid w:val="009921FF"/>
    <w:rsid w:val="009A5464"/>
    <w:rsid w:val="009B5B7F"/>
    <w:rsid w:val="00A31A4C"/>
    <w:rsid w:val="00A3461D"/>
    <w:rsid w:val="00A650D7"/>
    <w:rsid w:val="00A963AC"/>
    <w:rsid w:val="00BF0F06"/>
    <w:rsid w:val="00C70C63"/>
    <w:rsid w:val="00C87554"/>
    <w:rsid w:val="00D40A95"/>
    <w:rsid w:val="00D8408E"/>
    <w:rsid w:val="00DA082B"/>
    <w:rsid w:val="00E70831"/>
    <w:rsid w:val="00E9254E"/>
    <w:rsid w:val="00ED440E"/>
    <w:rsid w:val="00F26C0F"/>
    <w:rsid w:val="00F76463"/>
    <w:rsid w:val="00FA4F16"/>
    <w:rsid w:val="088E0DB5"/>
    <w:rsid w:val="0E0A19CE"/>
    <w:rsid w:val="2425476E"/>
    <w:rsid w:val="2F6F5770"/>
    <w:rsid w:val="3D2F7C22"/>
    <w:rsid w:val="62CF3634"/>
    <w:rsid w:val="6CFE0545"/>
    <w:rsid w:val="704C6A2A"/>
    <w:rsid w:val="70D4362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locked/>
    <w:uiPriority w:val="0"/>
    <w:pPr>
      <w:spacing w:before="100" w:beforeAutospacing="1" w:after="100" w:afterAutospacing="1"/>
      <w:jc w:val="left"/>
    </w:pPr>
    <w:rPr>
      <w:kern w:val="0"/>
      <w:sz w:val="24"/>
      <w:szCs w:val="24"/>
    </w:rPr>
  </w:style>
  <w:style w:type="character" w:styleId="8">
    <w:name w:val="page number"/>
    <w:basedOn w:val="7"/>
    <w:qFormat/>
    <w:uiPriority w:val="99"/>
    <w:rPr>
      <w:rFonts w:cs="Times New Roman"/>
    </w:rPr>
  </w:style>
  <w:style w:type="character" w:customStyle="1" w:styleId="9">
    <w:name w:val="批注框文本 Char"/>
    <w:basedOn w:val="7"/>
    <w:link w:val="2"/>
    <w:semiHidden/>
    <w:qFormat/>
    <w:locked/>
    <w:uiPriority w:val="99"/>
    <w:rPr>
      <w:rFonts w:cs="Times New Roman"/>
      <w:sz w:val="2"/>
    </w:rPr>
  </w:style>
  <w:style w:type="character" w:customStyle="1" w:styleId="10">
    <w:name w:val="页脚 Char"/>
    <w:basedOn w:val="7"/>
    <w:link w:val="3"/>
    <w:semiHidden/>
    <w:qFormat/>
    <w:locked/>
    <w:uiPriority w:val="99"/>
    <w:rPr>
      <w:rFonts w:cs="Times New Roman"/>
      <w:sz w:val="18"/>
      <w:szCs w:val="18"/>
    </w:rPr>
  </w:style>
  <w:style w:type="character" w:customStyle="1" w:styleId="11">
    <w:name w:val="页眉 Char"/>
    <w:basedOn w:val="7"/>
    <w:link w:val="4"/>
    <w:semiHidden/>
    <w:qFormat/>
    <w:locked/>
    <w:uiPriority w:val="99"/>
    <w:rPr>
      <w:rFonts w:cs="Times New Roman"/>
      <w:sz w:val="18"/>
      <w:szCs w:val="18"/>
    </w:rPr>
  </w:style>
  <w:style w:type="paragraph" w:customStyle="1" w:styleId="12">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1548</Words>
  <Characters>1654</Characters>
  <Lines>11</Lines>
  <Paragraphs>3</Paragraphs>
  <TotalTime>2</TotalTime>
  <ScaleCrop>false</ScaleCrop>
  <LinksUpToDate>false</LinksUpToDate>
  <CharactersWithSpaces>1658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2025-04-15T09:56:28Z</dcterms:modified>
  <dc:title>浮财预〔2018〕86号</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6E118CF7CDCF4FD99BF1D00F5B1D00B1_12</vt:lpwstr>
  </property>
  <property fmtid="{D5CDD505-2E9C-101B-9397-08002B2CF9AE}" pid="4" name="KSOTemplateDocerSaveRecord">
    <vt:lpwstr>eyJoZGlkIjoiOTA1Mjg3ZmMzMGU1YzVkMTFiMGU3Mzc0MmE1Mjc1MDYiLCJ1c2VySWQiOiI5NzU5Mjk5MzMifQ==</vt:lpwstr>
  </property>
</Properties>
</file>