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ascii="宋体"/>
          <w:b/>
          <w:sz w:val="44"/>
          <w:szCs w:val="44"/>
        </w:rPr>
      </w:pPr>
      <w:r>
        <w:rPr>
          <w:rFonts w:hint="eastAsia" w:ascii="宋体" w:hAnsi="宋体"/>
          <w:b/>
          <w:sz w:val="44"/>
          <w:szCs w:val="44"/>
        </w:rPr>
        <w:t>浮山县东街社区居民委员会</w:t>
      </w:r>
      <w:r>
        <w:rPr>
          <w:rFonts w:ascii="宋体" w:hAnsi="宋体"/>
          <w:b/>
          <w:sz w:val="44"/>
          <w:szCs w:val="44"/>
        </w:rPr>
        <w:t>2019</w:t>
      </w:r>
      <w:r>
        <w:rPr>
          <w:rFonts w:hint="eastAsia" w:ascii="宋体" w:hAnsi="宋体"/>
          <w:b/>
          <w:sz w:val="44"/>
          <w:szCs w:val="44"/>
        </w:rPr>
        <w:t>年度</w:t>
      </w:r>
    </w:p>
    <w:p>
      <w:pPr>
        <w:spacing w:line="600" w:lineRule="exact"/>
        <w:jc w:val="center"/>
        <w:rPr>
          <w:rFonts w:ascii="宋体"/>
          <w:b/>
          <w:sz w:val="44"/>
          <w:szCs w:val="44"/>
        </w:rPr>
      </w:pPr>
      <w:r>
        <w:rPr>
          <w:rFonts w:hint="eastAsia" w:ascii="宋体" w:hAnsi="宋体"/>
          <w:b/>
          <w:sz w:val="44"/>
          <w:szCs w:val="44"/>
        </w:rPr>
        <w:t>部门预算信息公开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一、基本情况</w:t>
      </w:r>
      <w:r>
        <w:rPr>
          <w:rFonts w:ascii="仿宋_GB2312" w:eastAsia="仿宋_GB2312"/>
          <w:b/>
          <w:sz w:val="32"/>
          <w:szCs w:val="32"/>
        </w:rPr>
        <w:t>(</w:t>
      </w:r>
      <w:r>
        <w:rPr>
          <w:rFonts w:hint="eastAsia" w:ascii="仿宋_GB2312" w:eastAsia="仿宋_GB2312"/>
          <w:b/>
          <w:sz w:val="32"/>
          <w:szCs w:val="32"/>
        </w:rPr>
        <w:t>包括机构设置情况）</w:t>
      </w:r>
    </w:p>
    <w:p>
      <w:pPr>
        <w:rPr>
          <w:rFonts w:ascii="仿宋" w:hAnsi="仿宋" w:eastAsia="仿宋" w:cs="仿宋"/>
          <w:sz w:val="32"/>
          <w:szCs w:val="32"/>
        </w:rPr>
      </w:pPr>
      <w:r>
        <w:rPr>
          <w:rFonts w:ascii="楷体" w:hAnsi="楷体" w:eastAsia="楷体"/>
          <w:sz w:val="32"/>
          <w:szCs w:val="32"/>
        </w:rPr>
        <w:t xml:space="preserve">  </w:t>
      </w:r>
      <w:r>
        <w:rPr>
          <w:rFonts w:ascii="仿宋" w:hAnsi="仿宋" w:eastAsia="仿宋" w:cs="仿宋"/>
          <w:sz w:val="32"/>
          <w:szCs w:val="32"/>
        </w:rPr>
        <w:t xml:space="preserve">  </w:t>
      </w:r>
      <w:r>
        <w:rPr>
          <w:rFonts w:hint="eastAsia" w:ascii="仿宋" w:hAnsi="仿宋" w:eastAsia="仿宋" w:cs="仿宋"/>
          <w:sz w:val="32"/>
          <w:szCs w:val="32"/>
        </w:rPr>
        <w:t>在职人员</w:t>
      </w:r>
      <w:r>
        <w:rPr>
          <w:rFonts w:ascii="仿宋" w:hAnsi="仿宋" w:eastAsia="仿宋" w:cs="仿宋"/>
          <w:sz w:val="32"/>
          <w:szCs w:val="32"/>
        </w:rPr>
        <w:t>2</w:t>
      </w:r>
      <w:r>
        <w:rPr>
          <w:rFonts w:hint="eastAsia" w:ascii="仿宋" w:hAnsi="仿宋" w:eastAsia="仿宋" w:cs="仿宋"/>
          <w:sz w:val="32"/>
          <w:szCs w:val="32"/>
        </w:rPr>
        <w:t>人，退休</w:t>
      </w:r>
      <w:r>
        <w:rPr>
          <w:rFonts w:ascii="仿宋" w:hAnsi="仿宋" w:eastAsia="仿宋" w:cs="仿宋"/>
          <w:sz w:val="32"/>
          <w:szCs w:val="32"/>
        </w:rPr>
        <w:t>2</w:t>
      </w:r>
      <w:r>
        <w:rPr>
          <w:rFonts w:hint="eastAsia" w:ascii="仿宋" w:hAnsi="仿宋" w:eastAsia="仿宋" w:cs="仿宋"/>
          <w:sz w:val="32"/>
          <w:szCs w:val="32"/>
        </w:rPr>
        <w:t>人。</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二、主要职能</w:t>
      </w:r>
    </w:p>
    <w:p>
      <w:pPr>
        <w:spacing w:line="520" w:lineRule="exact"/>
        <w:ind w:firstLine="717" w:firstLineChars="224"/>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、宣传宪法、法律法规和国家的政策，维护居民的合法权益，教育居民履行依法应尽的义务，爱护公共财产，开展多种形式的社会主义精神文明建设活动。</w:t>
      </w:r>
    </w:p>
    <w:p>
      <w:pPr>
        <w:spacing w:line="520" w:lineRule="exact"/>
        <w:ind w:firstLine="717" w:firstLineChars="224"/>
        <w:rPr>
          <w:rFonts w:ascii="仿宋" w:hAnsi="仿宋" w:eastAsia="仿宋" w:cs="仿宋"/>
          <w:sz w:val="32"/>
          <w:szCs w:val="32"/>
        </w:rPr>
      </w:pPr>
      <w:r>
        <w:rPr>
          <w:rFonts w:ascii="仿宋" w:hAnsi="仿宋" w:eastAsia="仿宋" w:cs="仿宋"/>
          <w:sz w:val="32"/>
          <w:szCs w:val="32"/>
        </w:rPr>
        <w:t>2</w:t>
      </w:r>
      <w:r>
        <w:rPr>
          <w:rFonts w:hint="eastAsia" w:ascii="仿宋" w:hAnsi="仿宋" w:eastAsia="仿宋" w:cs="仿宋"/>
          <w:sz w:val="32"/>
          <w:szCs w:val="32"/>
        </w:rPr>
        <w:t>、制定社区建设计划和社区管理制度，并提交社区成员代表大会审议，办理居住地区居民的公共事务和公益事业</w:t>
      </w:r>
    </w:p>
    <w:p>
      <w:pPr>
        <w:spacing w:line="520" w:lineRule="exact"/>
        <w:ind w:firstLine="717" w:firstLineChars="224"/>
        <w:rPr>
          <w:rFonts w:ascii="仿宋" w:hAnsi="仿宋" w:eastAsia="仿宋" w:cs="仿宋"/>
          <w:sz w:val="32"/>
          <w:szCs w:val="32"/>
        </w:rPr>
      </w:pPr>
      <w:r>
        <w:rPr>
          <w:rFonts w:ascii="仿宋" w:hAnsi="仿宋" w:eastAsia="仿宋" w:cs="仿宋"/>
          <w:sz w:val="32"/>
          <w:szCs w:val="32"/>
        </w:rPr>
        <w:t>3</w:t>
      </w:r>
      <w:r>
        <w:rPr>
          <w:rFonts w:hint="eastAsia" w:ascii="仿宋" w:hAnsi="仿宋" w:eastAsia="仿宋" w:cs="仿宋"/>
          <w:sz w:val="32"/>
          <w:szCs w:val="32"/>
        </w:rPr>
        <w:t>、调解民间纠纷。</w:t>
      </w:r>
    </w:p>
    <w:p>
      <w:pPr>
        <w:spacing w:line="520" w:lineRule="exact"/>
        <w:ind w:firstLine="717" w:firstLineChars="224"/>
        <w:rPr>
          <w:rFonts w:ascii="仿宋" w:hAnsi="仿宋" w:eastAsia="仿宋" w:cs="仿宋"/>
          <w:sz w:val="32"/>
          <w:szCs w:val="32"/>
        </w:rPr>
      </w:pPr>
      <w:r>
        <w:rPr>
          <w:rFonts w:ascii="仿宋" w:hAnsi="仿宋" w:eastAsia="仿宋" w:cs="仿宋"/>
          <w:sz w:val="32"/>
          <w:szCs w:val="32"/>
        </w:rPr>
        <w:t>4</w:t>
      </w:r>
      <w:r>
        <w:rPr>
          <w:rFonts w:hint="eastAsia" w:ascii="仿宋" w:hAnsi="仿宋" w:eastAsia="仿宋" w:cs="仿宋"/>
          <w:sz w:val="32"/>
          <w:szCs w:val="32"/>
        </w:rPr>
        <w:t>、协助维护社会治安，组织评选安全文明小区、安全文明楼院等工作。</w:t>
      </w:r>
    </w:p>
    <w:p>
      <w:pPr>
        <w:spacing w:line="520" w:lineRule="exact"/>
        <w:ind w:firstLine="717" w:firstLineChars="224"/>
        <w:rPr>
          <w:rFonts w:ascii="仿宋" w:hAnsi="仿宋" w:eastAsia="仿宋" w:cs="仿宋"/>
          <w:sz w:val="32"/>
          <w:szCs w:val="32"/>
        </w:rPr>
      </w:pPr>
      <w:r>
        <w:rPr>
          <w:rFonts w:ascii="仿宋" w:hAnsi="仿宋" w:eastAsia="仿宋" w:cs="仿宋"/>
          <w:sz w:val="32"/>
          <w:szCs w:val="32"/>
        </w:rPr>
        <w:t>5</w:t>
      </w:r>
      <w:r>
        <w:rPr>
          <w:rFonts w:hint="eastAsia" w:ascii="仿宋" w:hAnsi="仿宋" w:eastAsia="仿宋" w:cs="仿宋"/>
          <w:sz w:val="32"/>
          <w:szCs w:val="32"/>
        </w:rPr>
        <w:t>、协助区政府、街道做好与居民利益有关的公共卫生、计划生育、优抚救济、青少年教育等项工作。</w:t>
      </w:r>
    </w:p>
    <w:p>
      <w:pPr>
        <w:spacing w:line="520" w:lineRule="exact"/>
        <w:ind w:firstLine="717" w:firstLineChars="224"/>
        <w:rPr>
          <w:rFonts w:ascii="仿宋" w:hAnsi="仿宋" w:eastAsia="仿宋" w:cs="仿宋"/>
          <w:sz w:val="32"/>
          <w:szCs w:val="32"/>
        </w:rPr>
      </w:pPr>
      <w:r>
        <w:rPr>
          <w:rFonts w:ascii="仿宋" w:hAnsi="仿宋" w:eastAsia="仿宋" w:cs="仿宋"/>
          <w:sz w:val="32"/>
          <w:szCs w:val="32"/>
        </w:rPr>
        <w:t>6</w:t>
      </w:r>
      <w:r>
        <w:rPr>
          <w:rFonts w:hint="eastAsia" w:ascii="仿宋" w:hAnsi="仿宋" w:eastAsia="仿宋" w:cs="仿宋"/>
          <w:sz w:val="32"/>
          <w:szCs w:val="32"/>
        </w:rPr>
        <w:t>、与业主委员会、辖区单位等加强沟通和联系。组织、协调社区成员开展便民利民服务，组织志愿者服务队伍，为社区老年人、残疾人、优抚对象和社会困难户等特殊群体提供义务服务和低偿服务，抓好社区卫生、社区环境、社区治安、社区教育、社区文化等社区工作，实现社区成员代表大会确定的各项目标。</w:t>
      </w:r>
    </w:p>
    <w:p>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2019</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一、浮山县东街社区居民委员会</w:t>
      </w:r>
      <w:r>
        <w:rPr>
          <w:rFonts w:ascii="仿宋_GB2312" w:eastAsia="仿宋_GB2312"/>
          <w:sz w:val="32"/>
          <w:szCs w:val="32"/>
        </w:rPr>
        <w:t>2019</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二、浮山县东街社区居民委员会</w:t>
      </w:r>
      <w:r>
        <w:rPr>
          <w:rFonts w:ascii="仿宋_GB2312" w:eastAsia="仿宋_GB2312"/>
          <w:sz w:val="32"/>
          <w:szCs w:val="32"/>
        </w:rPr>
        <w:t>2019</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三、浮山县东街社区居民委员会</w:t>
      </w:r>
      <w:r>
        <w:rPr>
          <w:rFonts w:ascii="仿宋_GB2312" w:eastAsia="仿宋_GB2312"/>
          <w:sz w:val="32"/>
          <w:szCs w:val="32"/>
        </w:rPr>
        <w:t>2019</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四、浮山县东街社区居民委员会</w:t>
      </w:r>
      <w:r>
        <w:rPr>
          <w:rFonts w:ascii="仿宋_GB2312" w:eastAsia="仿宋_GB2312"/>
          <w:sz w:val="32"/>
          <w:szCs w:val="32"/>
        </w:rPr>
        <w:t>2019</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五、浮山县东街社区居民委员会</w:t>
      </w:r>
      <w:r>
        <w:rPr>
          <w:rFonts w:ascii="仿宋_GB2312" w:eastAsia="仿宋_GB2312"/>
          <w:sz w:val="32"/>
          <w:szCs w:val="32"/>
        </w:rPr>
        <w:t>2019</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六、浮山县东街社区居民委员会</w:t>
      </w:r>
      <w:r>
        <w:rPr>
          <w:rFonts w:ascii="仿宋_GB2312" w:eastAsia="仿宋_GB2312"/>
          <w:sz w:val="32"/>
          <w:szCs w:val="32"/>
        </w:rPr>
        <w:t>2019</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七、浮山县东街社区居民委员会</w:t>
      </w:r>
      <w:r>
        <w:rPr>
          <w:rFonts w:ascii="仿宋_GB2312" w:eastAsia="仿宋_GB2312"/>
          <w:sz w:val="32"/>
          <w:szCs w:val="32"/>
        </w:rPr>
        <w:t>2019</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八、浮山县东街社区居民委员会</w:t>
      </w:r>
      <w:r>
        <w:rPr>
          <w:rFonts w:ascii="仿宋_GB2312" w:eastAsia="仿宋_GB2312"/>
          <w:sz w:val="32"/>
          <w:szCs w:val="32"/>
        </w:rPr>
        <w:t>2019</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九、浮山县东街社区居民委员会</w:t>
      </w:r>
      <w:r>
        <w:rPr>
          <w:rFonts w:ascii="仿宋_GB2312" w:eastAsia="仿宋_GB2312"/>
          <w:sz w:val="32"/>
          <w:szCs w:val="32"/>
        </w:rPr>
        <w:t>2019</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十、浮山县东街社区居民委员会</w:t>
      </w:r>
      <w:r>
        <w:rPr>
          <w:rFonts w:ascii="仿宋_GB2312" w:eastAsia="仿宋_GB2312"/>
          <w:sz w:val="32"/>
          <w:szCs w:val="32"/>
        </w:rPr>
        <w:t>2019</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2019</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ascii="仿宋_GB2312" w:eastAsia="仿宋_GB2312"/>
          <w:b/>
          <w:sz w:val="32"/>
          <w:szCs w:val="32"/>
        </w:rPr>
        <w:t>2019</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浮山县东街社区居民委员会</w:t>
      </w:r>
      <w:r>
        <w:rPr>
          <w:rFonts w:ascii="仿宋_GB2312" w:eastAsia="仿宋_GB2312"/>
          <w:sz w:val="32"/>
          <w:szCs w:val="32"/>
        </w:rPr>
        <w:t>2019</w:t>
      </w:r>
      <w:r>
        <w:rPr>
          <w:rFonts w:hint="eastAsia" w:ascii="仿宋_GB2312" w:eastAsia="仿宋_GB2312"/>
          <w:sz w:val="32"/>
          <w:szCs w:val="32"/>
        </w:rPr>
        <w:t>年部门预算</w:t>
      </w:r>
      <w:r>
        <w:rPr>
          <w:rFonts w:ascii="仿宋_GB2312" w:eastAsia="仿宋_GB2312"/>
          <w:sz w:val="32"/>
          <w:szCs w:val="32"/>
        </w:rPr>
        <w:t>42.87</w:t>
      </w:r>
      <w:r>
        <w:rPr>
          <w:rFonts w:hint="eastAsia" w:ascii="仿宋_GB2312" w:eastAsia="仿宋_GB2312"/>
          <w:sz w:val="32"/>
          <w:szCs w:val="32"/>
        </w:rPr>
        <w:t>万元，比</w:t>
      </w:r>
      <w:r>
        <w:rPr>
          <w:rFonts w:ascii="仿宋_GB2312" w:eastAsia="仿宋_GB2312"/>
          <w:sz w:val="32"/>
          <w:szCs w:val="32"/>
        </w:rPr>
        <w:t>2018</w:t>
      </w:r>
      <w:r>
        <w:rPr>
          <w:rFonts w:hint="eastAsia" w:ascii="仿宋_GB2312" w:eastAsia="仿宋_GB2312"/>
          <w:sz w:val="32"/>
          <w:szCs w:val="32"/>
        </w:rPr>
        <w:t>年预算增加</w:t>
      </w:r>
      <w:r>
        <w:rPr>
          <w:rFonts w:ascii="仿宋_GB2312" w:eastAsia="仿宋_GB2312"/>
          <w:sz w:val="32"/>
          <w:szCs w:val="32"/>
        </w:rPr>
        <w:t>3.56</w:t>
      </w:r>
      <w:r>
        <w:rPr>
          <w:rFonts w:hint="eastAsia" w:ascii="仿宋_GB2312" w:eastAsia="仿宋_GB2312"/>
          <w:sz w:val="32"/>
          <w:szCs w:val="32"/>
        </w:rPr>
        <w:t>万元。其中：工资福利支出比</w:t>
      </w:r>
      <w:r>
        <w:rPr>
          <w:rFonts w:ascii="仿宋_GB2312" w:eastAsia="仿宋_GB2312"/>
          <w:sz w:val="32"/>
          <w:szCs w:val="32"/>
        </w:rPr>
        <w:t>2018</w:t>
      </w:r>
      <w:r>
        <w:rPr>
          <w:rFonts w:hint="eastAsia" w:ascii="仿宋_GB2312" w:eastAsia="仿宋_GB2312"/>
          <w:sz w:val="32"/>
          <w:szCs w:val="32"/>
        </w:rPr>
        <w:t>年增加了</w:t>
      </w:r>
      <w:r>
        <w:rPr>
          <w:rFonts w:ascii="仿宋_GB2312" w:eastAsia="仿宋_GB2312"/>
          <w:sz w:val="32"/>
          <w:szCs w:val="32"/>
        </w:rPr>
        <w:t xml:space="preserve">1.34 </w:t>
      </w:r>
      <w:r>
        <w:rPr>
          <w:rFonts w:hint="eastAsia" w:ascii="仿宋_GB2312" w:eastAsia="仿宋_GB2312"/>
          <w:sz w:val="32"/>
          <w:szCs w:val="32"/>
        </w:rPr>
        <w:t>万元，增加原因为工资改革。商品和服务支出比</w:t>
      </w:r>
      <w:r>
        <w:rPr>
          <w:rFonts w:ascii="仿宋_GB2312" w:eastAsia="仿宋_GB2312"/>
          <w:sz w:val="32"/>
          <w:szCs w:val="32"/>
        </w:rPr>
        <w:t>2018</w:t>
      </w:r>
      <w:r>
        <w:rPr>
          <w:rFonts w:hint="eastAsia" w:ascii="仿宋_GB2312" w:eastAsia="仿宋_GB2312"/>
          <w:sz w:val="32"/>
          <w:szCs w:val="32"/>
        </w:rPr>
        <w:t>年增加了</w:t>
      </w:r>
      <w:r>
        <w:rPr>
          <w:rFonts w:ascii="仿宋_GB2312" w:eastAsia="仿宋_GB2312"/>
          <w:sz w:val="32"/>
          <w:szCs w:val="32"/>
        </w:rPr>
        <w:t>0.79</w:t>
      </w:r>
      <w:r>
        <w:rPr>
          <w:rFonts w:hint="eastAsia" w:ascii="仿宋_GB2312" w:eastAsia="仿宋_GB2312"/>
          <w:sz w:val="32"/>
          <w:szCs w:val="32"/>
        </w:rPr>
        <w:t>万元，增加原因为购买办公用具。对个人和家庭补助支出比</w:t>
      </w:r>
      <w:r>
        <w:rPr>
          <w:rFonts w:ascii="仿宋_GB2312" w:eastAsia="仿宋_GB2312"/>
          <w:sz w:val="32"/>
          <w:szCs w:val="32"/>
        </w:rPr>
        <w:t>2018</w:t>
      </w:r>
      <w:r>
        <w:rPr>
          <w:rFonts w:hint="eastAsia" w:ascii="仿宋_GB2312" w:eastAsia="仿宋_GB2312"/>
          <w:sz w:val="32"/>
          <w:szCs w:val="32"/>
        </w:rPr>
        <w:t>年增加了</w:t>
      </w:r>
      <w:r>
        <w:rPr>
          <w:rFonts w:ascii="仿宋_GB2312" w:eastAsia="仿宋_GB2312"/>
          <w:sz w:val="32"/>
          <w:szCs w:val="32"/>
        </w:rPr>
        <w:t>0.84</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年一般公共预算安排的“三公”经费预算</w:t>
      </w:r>
      <w:r>
        <w:rPr>
          <w:rFonts w:ascii="仿宋_GB2312" w:eastAsia="仿宋_GB2312"/>
          <w:sz w:val="32"/>
          <w:szCs w:val="32"/>
        </w:rPr>
        <w:t>0</w:t>
      </w:r>
      <w:r>
        <w:rPr>
          <w:rFonts w:hint="eastAsia" w:ascii="仿宋_GB2312" w:eastAsia="仿宋_GB2312"/>
          <w:sz w:val="32"/>
          <w:szCs w:val="32"/>
        </w:rPr>
        <w:t>万元。与上年无变化</w:t>
      </w:r>
      <w:r>
        <w:rPr>
          <w:rFonts w:ascii="仿宋_GB2312" w:eastAsia="仿宋_GB2312"/>
          <w:sz w:val="32"/>
          <w:szCs w:val="32"/>
        </w:rPr>
        <w:t>.</w:t>
      </w:r>
      <w:r>
        <w:rPr>
          <w:rFonts w:hint="eastAsia" w:ascii="仿宋_GB2312" w:eastAsia="仿宋_GB2312"/>
          <w:sz w:val="32"/>
          <w:szCs w:val="32"/>
        </w:rPr>
        <w:t>因为我单位无公务用车，当年未发生出国，招待，会议，培训的三公经费支出</w:t>
      </w:r>
      <w:r>
        <w:rPr>
          <w:rFonts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浮山县东街社区居民委员会</w:t>
      </w:r>
      <w:r>
        <w:rPr>
          <w:rFonts w:ascii="仿宋_GB2312" w:eastAsia="仿宋_GB2312"/>
          <w:sz w:val="32"/>
          <w:szCs w:val="32"/>
        </w:rPr>
        <w:t>2019</w:t>
      </w:r>
      <w:r>
        <w:rPr>
          <w:rFonts w:hint="eastAsia" w:ascii="仿宋_GB2312" w:eastAsia="仿宋_GB2312"/>
          <w:sz w:val="32"/>
          <w:szCs w:val="32"/>
        </w:rPr>
        <w:t>年运行经费财政拨款预算</w:t>
      </w:r>
      <w:r>
        <w:rPr>
          <w:rFonts w:ascii="仿宋_GB2312" w:eastAsia="仿宋_GB2312"/>
          <w:sz w:val="32"/>
          <w:szCs w:val="32"/>
        </w:rPr>
        <w:t xml:space="preserve">35.63 </w:t>
      </w:r>
      <w:r>
        <w:rPr>
          <w:rFonts w:hint="eastAsia" w:ascii="仿宋_GB2312" w:eastAsia="仿宋_GB2312"/>
          <w:sz w:val="32"/>
          <w:szCs w:val="32"/>
        </w:rPr>
        <w:t>万元，比</w:t>
      </w:r>
      <w:r>
        <w:rPr>
          <w:rFonts w:ascii="仿宋_GB2312" w:eastAsia="仿宋_GB2312"/>
          <w:sz w:val="32"/>
          <w:szCs w:val="32"/>
        </w:rPr>
        <w:t>2018</w:t>
      </w:r>
      <w:r>
        <w:rPr>
          <w:rFonts w:hint="eastAsia" w:ascii="仿宋_GB2312" w:eastAsia="仿宋_GB2312"/>
          <w:sz w:val="32"/>
          <w:szCs w:val="32"/>
        </w:rPr>
        <w:t>年预算增加</w:t>
      </w:r>
      <w:r>
        <w:rPr>
          <w:rFonts w:ascii="仿宋_GB2312" w:eastAsia="仿宋_GB2312"/>
          <w:sz w:val="32"/>
          <w:szCs w:val="32"/>
        </w:rPr>
        <w:t>1.91</w:t>
      </w:r>
      <w:r>
        <w:rPr>
          <w:rFonts w:hint="eastAsia" w:ascii="仿宋_GB2312" w:eastAsia="仿宋_GB2312"/>
          <w:sz w:val="32"/>
          <w:szCs w:val="32"/>
        </w:rPr>
        <w:t>万元，增长</w:t>
      </w:r>
      <w:r>
        <w:rPr>
          <w:rFonts w:ascii="仿宋_GB2312" w:eastAsia="仿宋_GB2312"/>
          <w:sz w:val="32"/>
          <w:szCs w:val="32"/>
        </w:rPr>
        <w:t>5.7 %,</w:t>
      </w:r>
      <w:r>
        <w:rPr>
          <w:rFonts w:hint="eastAsia" w:ascii="仿宋_GB2312" w:eastAsia="仿宋_GB2312"/>
          <w:sz w:val="32"/>
          <w:szCs w:val="32"/>
        </w:rPr>
        <w:t>原因是办公经费增加。</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年浮山县东街社区居民委员会政府采购预算总额</w:t>
      </w:r>
      <w:r>
        <w:rPr>
          <w:rFonts w:ascii="仿宋_GB2312" w:eastAsia="仿宋_GB2312"/>
          <w:sz w:val="32"/>
          <w:szCs w:val="32"/>
        </w:rPr>
        <w:t>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截止到</w:t>
      </w:r>
      <w:r>
        <w:rPr>
          <w:rFonts w:ascii="仿宋_GB2312" w:eastAsia="仿宋_GB2312"/>
          <w:sz w:val="32"/>
          <w:szCs w:val="32"/>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ascii="仿宋_GB2312" w:eastAsia="仿宋_GB2312"/>
          <w:sz w:val="32"/>
          <w:szCs w:val="32"/>
        </w:rPr>
        <w:t>13.4</w:t>
      </w:r>
      <w:r>
        <w:rPr>
          <w:rFonts w:hint="eastAsia" w:ascii="仿宋_GB2312" w:eastAsia="仿宋_GB2312"/>
          <w:sz w:val="32"/>
          <w:szCs w:val="32"/>
        </w:rPr>
        <w:t>万元。</w:t>
      </w:r>
    </w:p>
    <w:p>
      <w:pPr>
        <w:numPr>
          <w:ilvl w:val="0"/>
          <w:numId w:val="1"/>
        </w:numPr>
        <w:spacing w:line="600" w:lineRule="exact"/>
        <w:ind w:firstLine="640" w:firstLineChars="200"/>
        <w:rPr>
          <w:rFonts w:ascii="仿宋_GB2312" w:eastAsia="仿宋_GB2312"/>
          <w:sz w:val="32"/>
          <w:szCs w:val="32"/>
        </w:rPr>
      </w:pPr>
      <w:r>
        <w:rPr>
          <w:rFonts w:hint="eastAsia" w:ascii="仿宋_GB2312" w:eastAsia="仿宋_GB2312"/>
          <w:sz w:val="32"/>
          <w:szCs w:val="32"/>
        </w:rPr>
        <w:t>绩效管理情况</w:t>
      </w:r>
    </w:p>
    <w:p>
      <w:pPr>
        <w:spacing w:line="600" w:lineRule="exact"/>
        <w:rPr>
          <w:rFonts w:ascii="仿宋_GB2312" w:eastAsia="仿宋_GB2312"/>
          <w:sz w:val="32"/>
          <w:szCs w:val="32"/>
        </w:rPr>
      </w:pPr>
      <w:r>
        <w:rPr>
          <w:rFonts w:ascii="仿宋_GB2312" w:eastAsia="仿宋_GB2312"/>
          <w:sz w:val="32"/>
          <w:szCs w:val="32"/>
        </w:rPr>
        <w:t xml:space="preserve">    </w:t>
      </w:r>
      <w:r>
        <w:rPr>
          <w:rFonts w:hint="eastAsia" w:ascii="仿宋_GB2312" w:eastAsia="仿宋_GB2312"/>
          <w:sz w:val="32"/>
          <w:szCs w:val="32"/>
        </w:rPr>
        <w:t>无</w:t>
      </w:r>
    </w:p>
    <w:p>
      <w:pPr>
        <w:spacing w:line="600" w:lineRule="exact"/>
        <w:ind w:firstLine="640" w:firstLineChars="200"/>
        <w:rPr>
          <w:rFonts w:ascii="仿宋_GB2312" w:eastAsia="仿宋_GB2312"/>
          <w:sz w:val="32"/>
          <w:szCs w:val="32"/>
        </w:rPr>
      </w:pPr>
      <w:r>
        <w:rPr>
          <w:rFonts w:ascii="仿宋_GB2312" w:eastAsia="仿宋_GB2312"/>
          <w:sz w:val="32"/>
          <w:szCs w:val="32"/>
        </w:rPr>
        <w:t xml:space="preserve">    2019</w:t>
      </w:r>
      <w:r>
        <w:rPr>
          <w:rFonts w:hint="eastAsia" w:ascii="仿宋_GB2312" w:eastAsia="仿宋_GB2312"/>
          <w:sz w:val="32"/>
          <w:szCs w:val="32"/>
        </w:rPr>
        <w:t>年部门预算我单位无重点项目支出</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无</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3949976932">
    <w:nsid w:val="EB6FDD64"/>
    <w:multiLevelType w:val="singleLevel"/>
    <w:tmpl w:val="EB6FDD64"/>
    <w:lvl w:ilvl="0" w:tentative="1">
      <w:start w:val="6"/>
      <w:numFmt w:val="chineseCounting"/>
      <w:suff w:val="nothing"/>
      <w:lvlText w:val="%1、"/>
      <w:lvlJc w:val="left"/>
      <w:rPr>
        <w:rFonts w:hint="eastAsia" w:cs="Times New Roman"/>
      </w:rPr>
    </w:lvl>
  </w:abstractNum>
  <w:num w:numId="1">
    <w:abstractNumId w:val="39499769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352D"/>
    <w:rsid w:val="00246095"/>
    <w:rsid w:val="002650F6"/>
    <w:rsid w:val="002D7777"/>
    <w:rsid w:val="00393481"/>
    <w:rsid w:val="0040257E"/>
    <w:rsid w:val="004F010D"/>
    <w:rsid w:val="005914FF"/>
    <w:rsid w:val="00593F23"/>
    <w:rsid w:val="005E63F3"/>
    <w:rsid w:val="005E6F9D"/>
    <w:rsid w:val="005E71C2"/>
    <w:rsid w:val="006726F2"/>
    <w:rsid w:val="006943D6"/>
    <w:rsid w:val="006F24C5"/>
    <w:rsid w:val="007636CB"/>
    <w:rsid w:val="00795B78"/>
    <w:rsid w:val="007E3687"/>
    <w:rsid w:val="008150F4"/>
    <w:rsid w:val="0082011A"/>
    <w:rsid w:val="0091609A"/>
    <w:rsid w:val="00944474"/>
    <w:rsid w:val="00971FD3"/>
    <w:rsid w:val="00975919"/>
    <w:rsid w:val="009840B4"/>
    <w:rsid w:val="00987CA2"/>
    <w:rsid w:val="009921FF"/>
    <w:rsid w:val="009A5464"/>
    <w:rsid w:val="009B2E69"/>
    <w:rsid w:val="00A31A4C"/>
    <w:rsid w:val="00A3461D"/>
    <w:rsid w:val="00A650D7"/>
    <w:rsid w:val="00BF0F06"/>
    <w:rsid w:val="00C70C63"/>
    <w:rsid w:val="00D40A95"/>
    <w:rsid w:val="00DA082B"/>
    <w:rsid w:val="00E70831"/>
    <w:rsid w:val="00E9254E"/>
    <w:rsid w:val="00F76463"/>
    <w:rsid w:val="00FA4F16"/>
    <w:rsid w:val="02FE449B"/>
    <w:rsid w:val="088E0DB5"/>
    <w:rsid w:val="0E0A19CE"/>
    <w:rsid w:val="1C410D88"/>
    <w:rsid w:val="1ECE4733"/>
    <w:rsid w:val="2080115C"/>
    <w:rsid w:val="22925A39"/>
    <w:rsid w:val="2425476E"/>
    <w:rsid w:val="243E3F40"/>
    <w:rsid w:val="26C64C54"/>
    <w:rsid w:val="2BBB1253"/>
    <w:rsid w:val="306C5082"/>
    <w:rsid w:val="3CF9091D"/>
    <w:rsid w:val="3D2F7C22"/>
    <w:rsid w:val="50B4214B"/>
    <w:rsid w:val="51242555"/>
    <w:rsid w:val="51481472"/>
    <w:rsid w:val="59226288"/>
    <w:rsid w:val="62CF3634"/>
    <w:rsid w:val="63830F2E"/>
    <w:rsid w:val="657D0567"/>
    <w:rsid w:val="6CFE0545"/>
    <w:rsid w:val="778D2B1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0" w:name="Normal Indent" w:locked="1"/>
    <w:lsdException w:uiPriority="0" w:name="footnote text" w:locked="1"/>
    <w:lsdException w:uiPriority="0" w:name="annotation text" w:locked="1"/>
    <w:lsdException w:unhideWhenUsed="0" w:uiPriority="99" w:semiHidden="0" w:name="header"/>
    <w:lsdException w:unhideWhenUsed="0" w:uiPriority="99" w:semiHidden="0" w:name="footer"/>
    <w:lsdException w:uiPriority="0" w:name="index heading" w:locked="1"/>
    <w:lsdException w:qFormat="1" w:uiPriority="0" w:name="caption"/>
    <w:lsdException w:uiPriority="0" w:name="table of figures" w:locked="1"/>
    <w:lsdException w:uiPriority="0" w:name="envelope address" w:locked="1"/>
    <w:lsdException w:uiPriority="0" w:name="envelope return" w:locked="1"/>
    <w:lsdException w:uiPriority="0" w:name="footnote reference" w:locked="1"/>
    <w:lsdException w:uiPriority="0" w:name="annotation reference" w:locked="1"/>
    <w:lsdException w:uiPriority="0" w:name="line number" w:locked="1"/>
    <w:lsdException w:unhideWhenUsed="0" w:uiPriority="99" w:semiHidden="0" w:name="page number"/>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iPriority="0" w:name="List" w:locked="1"/>
    <w:lsdException w:uiPriority="0" w:name="List Bullet" w:locked="1"/>
    <w:lsdException w:uiPriority="0" w:name="List Number" w:locked="1"/>
    <w:lsdException w:uiPriority="0" w:name="List 2" w:locked="1"/>
    <w:lsdException w:uiPriority="0" w:name="List 3" w:locked="1"/>
    <w:lsdException w:uiPriority="0" w:name="List 4" w:locked="1"/>
    <w:lsdException w:uiPriority="0" w:name="List 5" w:locked="1"/>
    <w:lsdException w:uiPriority="0" w:name="List Bullet 2" w:locked="1"/>
    <w:lsdException w:uiPriority="0" w:name="List Bullet 3" w:locked="1"/>
    <w:lsdException w:uiPriority="0" w:name="List Bullet 4" w:locked="1"/>
    <w:lsdException w:uiPriority="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0" w:semiHidden="0" w:name="Title"/>
    <w:lsdException w:uiPriority="0" w:name="Closing" w:locked="1"/>
    <w:lsdException w:uiPriority="0" w:name="Signature" w:locked="1"/>
    <w:lsdException w:unhideWhenUsed="0" w:uiPriority="99" w:name="Default Paragraph Font"/>
    <w:lsdException w:uiPriority="0" w:name="Body Text" w:locked="1"/>
    <w:lsdException w:uiPriority="0" w:name="Body Text Indent" w:locked="1"/>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0" w:semiHidden="0" w:name="Subtitle"/>
    <w:lsdException w:uiPriority="0" w:name="Salutation" w:locked="1"/>
    <w:lsdException w:uiPriority="0" w:name="Date" w:locked="1"/>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uiPriority="0" w:name="Hyperlink" w:locked="1"/>
    <w:lsdException w:uiPriority="0" w:name="FollowedHyperlink" w:locked="1"/>
    <w:lsdException w:qFormat="1" w:unhideWhenUsed="0" w:uiPriority="0" w:semiHidden="0" w:name="Strong"/>
    <w:lsdException w:qFormat="1" w:unhideWhenUsed="0" w:uiPriority="0" w:semiHidden="0" w:name="Emphasis"/>
    <w:lsdException w:uiPriority="0" w:name="Document Map" w:locked="1"/>
    <w:lsdException w:uiPriority="0" w:name="Plain Text" w:locked="1"/>
    <w:lsdException w:uiPriority="0" w:name="E-mail Signature" w:locked="1"/>
    <w:lsdException w:uiPriority="0" w:name="Normal (Web)" w:locked="1"/>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name="Normal Table"/>
    <w:lsdException w:uiPriority="0" w:name="annotation subject" w:locked="1"/>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unhideWhenUsed="0" w:uiPriority="99" w:name="Balloon Text" w:locked="1"/>
    <w:lsdException w:unhideWhenUsed="0" w:uiPriority="0"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locked/>
    <w:uiPriority w:val="99"/>
    <w:rPr>
      <w:sz w:val="18"/>
      <w:szCs w:val="18"/>
    </w:rPr>
  </w:style>
  <w:style w:type="paragraph" w:styleId="3">
    <w:name w:val="footer"/>
    <w:basedOn w:val="1"/>
    <w:link w:val="10"/>
    <w:uiPriority w:val="99"/>
    <w:pPr>
      <w:tabs>
        <w:tab w:val="center" w:pos="4153"/>
        <w:tab w:val="right" w:pos="8306"/>
      </w:tabs>
      <w:snapToGrid w:val="0"/>
      <w:jc w:val="left"/>
    </w:pPr>
    <w:rPr>
      <w:sz w:val="18"/>
      <w:szCs w:val="18"/>
    </w:rPr>
  </w:style>
  <w:style w:type="paragraph" w:styleId="4">
    <w:name w:val="header"/>
    <w:basedOn w:val="1"/>
    <w:link w:val="11"/>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99"/>
    <w:rPr>
      <w:rFonts w:cs="Times New Roman"/>
    </w:rPr>
  </w:style>
  <w:style w:type="paragraph" w:customStyle="1" w:styleId="8">
    <w:name w:val="Char Char Char Char Char Char Char"/>
    <w:basedOn w:val="1"/>
    <w:uiPriority w:val="99"/>
    <w:rPr>
      <w:rFonts w:ascii="Times New Roman" w:hAnsi="Times New Roman"/>
      <w:szCs w:val="24"/>
    </w:rPr>
  </w:style>
  <w:style w:type="character" w:customStyle="1" w:styleId="9">
    <w:name w:val="Balloon Text Char"/>
    <w:basedOn w:val="5"/>
    <w:link w:val="2"/>
    <w:semiHidden/>
    <w:locked/>
    <w:uiPriority w:val="99"/>
    <w:rPr>
      <w:rFonts w:cs="Times New Roman"/>
      <w:sz w:val="2"/>
    </w:rPr>
  </w:style>
  <w:style w:type="character" w:customStyle="1" w:styleId="10">
    <w:name w:val="Footer Char"/>
    <w:basedOn w:val="5"/>
    <w:link w:val="3"/>
    <w:semiHidden/>
    <w:locked/>
    <w:uiPriority w:val="99"/>
    <w:rPr>
      <w:rFonts w:cs="Times New Roman"/>
      <w:sz w:val="18"/>
      <w:szCs w:val="18"/>
    </w:rPr>
  </w:style>
  <w:style w:type="character" w:customStyle="1" w:styleId="11">
    <w:name w:val="Header Char"/>
    <w:basedOn w:val="5"/>
    <w:link w:val="4"/>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5</Pages>
  <Words>243</Words>
  <Characters>1390</Characters>
  <Lines>0</Lines>
  <Paragraphs>0</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2019-04-01T02:31:45Z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