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18CCE">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lang w:eastAsia="zh-CN"/>
        </w:rPr>
      </w:pPr>
    </w:p>
    <w:p w14:paraId="0DEF7537">
      <w:pPr>
        <w:widowControl/>
        <w:jc w:val="center"/>
        <w:rPr>
          <w:rFonts w:hint="eastAsia" w:ascii="方正小标宋简体" w:hAnsi="华文中宋" w:eastAsia="方正小标宋简体"/>
          <w:kern w:val="0"/>
          <w:sz w:val="44"/>
          <w:szCs w:val="44"/>
        </w:rPr>
      </w:pPr>
      <w:r>
        <w:rPr>
          <w:rFonts w:hint="eastAsia" w:ascii="方正小标宋简体" w:hAnsi="宋体" w:eastAsia="方正小标宋简体" w:cs="宋体"/>
          <w:kern w:val="0"/>
          <w:sz w:val="44"/>
          <w:szCs w:val="44"/>
          <w:lang w:eastAsia="zh-CN"/>
        </w:rPr>
        <w:t>浮山县</w:t>
      </w:r>
      <w:r>
        <w:rPr>
          <w:rFonts w:hint="eastAsia" w:ascii="方正小标宋简体" w:hAnsi="宋体" w:eastAsia="方正小标宋简体" w:cs="宋体"/>
          <w:kern w:val="0"/>
          <w:sz w:val="44"/>
          <w:szCs w:val="44"/>
          <w:lang w:val="en-US" w:eastAsia="zh-CN"/>
        </w:rPr>
        <w:t>委</w:t>
      </w:r>
      <w:r>
        <w:rPr>
          <w:rFonts w:hint="eastAsia" w:ascii="方正小标宋简体" w:hAnsi="华文中宋" w:eastAsia="方正小标宋简体"/>
          <w:kern w:val="0"/>
          <w:sz w:val="44"/>
          <w:szCs w:val="44"/>
          <w:lang w:val="en-US" w:eastAsia="zh-CN"/>
        </w:rPr>
        <w:t>统战部</w:t>
      </w: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14:paraId="066133F8">
      <w:pPr>
        <w:keepNext w:val="0"/>
        <w:keepLines w:val="0"/>
        <w:pageBreakBefore w:val="0"/>
        <w:widowControl/>
        <w:kinsoku/>
        <w:wordWrap/>
        <w:overflowPunct/>
        <w:topLinePunct w:val="0"/>
        <w:autoSpaceDE/>
        <w:autoSpaceDN/>
        <w:bidi w:val="0"/>
        <w:adjustRightInd/>
        <w:snapToGrid/>
        <w:spacing w:before="581" w:beforeLines="100" w:line="560" w:lineRule="exact"/>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14:paraId="77859884">
      <w:pPr>
        <w:keepNext w:val="0"/>
        <w:keepLines w:val="0"/>
        <w:pageBreakBefore w:val="0"/>
        <w:widowControl/>
        <w:kinsoku/>
        <w:wordWrap/>
        <w:overflowPunct/>
        <w:topLinePunct w:val="0"/>
        <w:autoSpaceDE/>
        <w:autoSpaceDN/>
        <w:bidi w:val="0"/>
        <w:adjustRightInd/>
        <w:snapToGrid/>
        <w:spacing w:before="581" w:beforeLines="100" w:line="560" w:lineRule="exact"/>
        <w:ind w:firstLine="641"/>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rPr>
        <w:t>一、本部门职责</w:t>
      </w:r>
    </w:p>
    <w:p w14:paraId="3384BB5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（一）研究统一战线理论和重大方针政策，向县委反映情况，提出建议，宣传贯彻落实</w:t>
      </w:r>
      <w:r>
        <w:rPr>
          <w:rFonts w:hint="eastAsia" w:ascii="仿宋_GB2312" w:hAnsi="宋体" w:eastAsia="仿宋_GB2312"/>
          <w:sz w:val="32"/>
          <w:szCs w:val="32"/>
          <w:lang w:eastAsia="zh-CN"/>
        </w:rPr>
        <w:t>党</w:t>
      </w:r>
      <w:bookmarkStart w:id="0" w:name="_GoBack"/>
      <w:bookmarkEnd w:id="0"/>
      <w:r>
        <w:rPr>
          <w:rFonts w:hint="eastAsia" w:ascii="仿宋_GB2312" w:hAnsi="宋体" w:eastAsia="仿宋_GB2312"/>
          <w:sz w:val="32"/>
          <w:szCs w:val="32"/>
        </w:rPr>
        <w:t>中央和省、市关于统一战线方针、政策。</w:t>
      </w:r>
    </w:p>
    <w:p w14:paraId="7989DCC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二）负责联系各民主党派和无党派代表人士，及时通报情况，反映他们的意见和建议；贯彻中国共产党领导的多党合作和政治协商制度以及民主党派的方针、政策；落实上级党委关于发挥民主党派参政议政和民主监督作用；支持民主党派加强自身建设，选拔培养新一代代表人物。</w:t>
      </w:r>
    </w:p>
    <w:p w14:paraId="12956EC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（三）民族方面：</w:t>
      </w:r>
    </w:p>
    <w:p w14:paraId="04376A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1、宣传贯彻国家民族法律、法规、政策，执行省、市制定的地方性法规及拟定实施细则，办理少数民族权益保障事宜。</w:t>
      </w:r>
    </w:p>
    <w:p w14:paraId="2A9C999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2、会同有关部门研究拟定全县少数民族经济发展的规划、协调实施等事宜；提出发展少数民族的扶持措施，参与少数民族专项资金的分配、使用和管理，配合有关部门承办少数民族的扶贫工作。</w:t>
      </w:r>
    </w:p>
    <w:p w14:paraId="2DB5DB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3、组织全县民族问题的调查研究，协调处理民族关系中发生的问题，促进全县民族的平等团结、互相合作，维护社会稳定；组织和承办民族团结进步的活动。</w:t>
      </w:r>
    </w:p>
    <w:p w14:paraId="47ABE56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4、研究全县少数民族方面的特殊问题提出相关意见，承办相应事务。</w:t>
      </w:r>
    </w:p>
    <w:p w14:paraId="24F9B69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5、联系少数民族干部，协助做好少数民族干部的培养、教育和使用等工作；组织接待少数民族学习、参观、考察等事宜。</w:t>
      </w:r>
    </w:p>
    <w:p w14:paraId="2827753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6、组织协调民族工作领域有关对外交流合作、协助开展少数民族对外宣传和办理有关涉外事务。</w:t>
      </w:r>
    </w:p>
    <w:p w14:paraId="1917515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7、承担上级部门和县政府交办的民族方面的其它事宜。</w:t>
      </w:r>
    </w:p>
    <w:p w14:paraId="3A76C8A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（四）宗教方面</w:t>
      </w:r>
    </w:p>
    <w:p w14:paraId="737571B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1、宣传贯彻国家有关宗教的法律、法规、政策，执行上级制定的宗教事务管理的地方性法规，并拟定实施细则。</w:t>
      </w:r>
    </w:p>
    <w:p w14:paraId="37059FF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2、研究把握我县各种宗教的发展趋势、现状和动态，提出政策性建议和意见。</w:t>
      </w:r>
    </w:p>
    <w:p w14:paraId="0D72411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3、依法履行宗教事务管理职能，依法保护公民宗教信仰自由，保护宗教团结和宗教活动场所的合法权益，保护宗教教职人员履行正常的教务活动，保护信教群众正常的宗教活动，促进宗教关系和谐。</w:t>
      </w:r>
    </w:p>
    <w:p w14:paraId="268C796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4、引导和促进宗教在法律、法规和政策范围内活动，防止和制止不法分子利用宗教进行非法、违法活动。</w:t>
      </w:r>
    </w:p>
    <w:p w14:paraId="782BB53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5、推动宗教界人士进行爱国主义、社会主义、拥护祖国统一和民族团结的自我教育，巩固发展同宗教界的爱国统一战线，团结和动员广大信教群众为改革开放和经济建设服务。</w:t>
      </w:r>
    </w:p>
    <w:p w14:paraId="3272D68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6、帮助宗教团体培养、教育宗教教职人员，搞好自身建设； 办理宗教团体需由政府协助和协调的事务；帮助宗教团体办好自养经济事业；帮助信教群众聚居村发展经济，脱贫致富。</w:t>
      </w:r>
    </w:p>
    <w:p w14:paraId="3ABAC8E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7、组织、指导宗教政策和法规的宣传教育，宗教理论研究工作。</w:t>
      </w:r>
    </w:p>
    <w:p w14:paraId="0387D71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8、协助有关部门及时处理宗教方面的突发事件和影响社会稳定的重要问题，防范利用宗教进行的非法、违法活动，抵御境外利用宗教进行的渗透活动。</w:t>
      </w:r>
    </w:p>
    <w:p w14:paraId="35A1AB8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9、配合政法部门揭露、打击邪教组织及其犯罪活动。</w:t>
      </w:r>
    </w:p>
    <w:p w14:paraId="64B9064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10、承办政府及上级部门交办的宗教方面的其它事项。</w:t>
      </w:r>
    </w:p>
    <w:p w14:paraId="69AA0E4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（五）负责开展以祖国统一为重点的海外统战工作，联系海外有关社团及代表人士。</w:t>
      </w:r>
    </w:p>
    <w:p w14:paraId="1CC19DC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（六）负责党外人士的政治安排，会同有关部门做好培养、选拔、推荐党外人士担任政府及司法机关领导职务的工作；做好党外后备干部和新的代表人物队伍的建设工作。</w:t>
      </w:r>
    </w:p>
    <w:p w14:paraId="1793329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（七）调查、研究并反映我县非公有制经济代表人物的情况；协调关系提出政策建议。</w:t>
      </w:r>
    </w:p>
    <w:p w14:paraId="6F74D5C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（八）调查研究党外知识分子情况，反映意见、协调关系，提出政策意见，联系并培养党外知识分子代表人物。</w:t>
      </w:r>
    </w:p>
    <w:p w14:paraId="45CC964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（九）负责统战理论、政策的研究，开展海外统一战线的宣传工作。</w:t>
      </w:r>
    </w:p>
    <w:p w14:paraId="4CA931C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宋体" w:eastAsia="仿宋_GB2312"/>
          <w:sz w:val="32"/>
          <w:szCs w:val="32"/>
        </w:rPr>
      </w:pPr>
      <w:r>
        <w:rPr>
          <w:rFonts w:hint="eastAsia" w:ascii="仿宋_GB2312" w:hAnsi="宋体" w:eastAsia="仿宋_GB2312"/>
          <w:sz w:val="32"/>
          <w:szCs w:val="32"/>
        </w:rPr>
        <w:t>（十）负责本部门和本系统的干部培训，保持与人大、政协的联系，协调政府各有关部门的统战工作；负责联系、指导工商联等有关人民团体的工作。</w:t>
      </w:r>
    </w:p>
    <w:p w14:paraId="4130E9A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80" w:firstLineChars="150"/>
        <w:textAlignment w:val="auto"/>
        <w:outlineLvl w:val="9"/>
        <w:rPr>
          <w:rFonts w:hint="eastAsia" w:ascii="仿宋_GB2312" w:hAnsi="楷体" w:eastAsia="仿宋_GB2312"/>
          <w:kern w:val="0"/>
          <w:sz w:val="32"/>
          <w:szCs w:val="32"/>
        </w:rPr>
      </w:pPr>
      <w:r>
        <w:rPr>
          <w:rFonts w:hint="eastAsia" w:ascii="仿宋_GB2312" w:hAnsi="宋体" w:eastAsia="仿宋_GB2312"/>
          <w:sz w:val="32"/>
          <w:szCs w:val="32"/>
        </w:rPr>
        <w:t>（十一）完成县委、县政府交办的其它工作任务。</w:t>
      </w:r>
    </w:p>
    <w:p w14:paraId="26CC3650">
      <w:pPr>
        <w:keepNext w:val="0"/>
        <w:keepLines w:val="0"/>
        <w:pageBreakBefore w:val="0"/>
        <w:widowControl/>
        <w:numPr>
          <w:ilvl w:val="0"/>
          <w:numId w:val="1"/>
        </w:numPr>
        <w:kinsoku/>
        <w:wordWrap/>
        <w:overflowPunct/>
        <w:topLinePunct w:val="0"/>
        <w:autoSpaceDE/>
        <w:autoSpaceDN/>
        <w:bidi w:val="0"/>
        <w:adjustRightInd/>
        <w:snapToGrid/>
        <w:spacing w:before="581" w:beforeLines="100" w:line="560" w:lineRule="exact"/>
        <w:ind w:firstLine="641"/>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rPr>
        <w:t>机构设置情况</w:t>
      </w:r>
    </w:p>
    <w:p w14:paraId="295D2FB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黑体" w:hAnsi="黑体" w:eastAsia="黑体" w:cs="黑体"/>
          <w:kern w:val="0"/>
          <w:sz w:val="32"/>
          <w:szCs w:val="32"/>
        </w:rPr>
      </w:pPr>
      <w:r>
        <w:rPr>
          <w:rFonts w:hint="eastAsia" w:ascii="仿宋_GB2312" w:hAnsi="宋体" w:eastAsia="仿宋_GB2312"/>
          <w:sz w:val="32"/>
          <w:szCs w:val="32"/>
        </w:rPr>
        <w:t>根据上述主要职能，县委统战部设1个综合办公室，负责统战部、民族宗教事务局综合协调工作。县委统战部（县民族宗教事务局）机关行政编制4名，其中：部长1名（占</w:t>
      </w:r>
      <w:r>
        <w:rPr>
          <w:rFonts w:hint="eastAsia" w:ascii="仿宋_GB2312" w:hAnsi="宋体" w:eastAsia="仿宋_GB2312"/>
          <w:sz w:val="32"/>
          <w:szCs w:val="32"/>
          <w:lang w:val="en-US" w:eastAsia="zh-CN"/>
        </w:rPr>
        <w:t>县委</w:t>
      </w:r>
      <w:r>
        <w:rPr>
          <w:rFonts w:hint="eastAsia" w:ascii="仿宋_GB2312" w:hAnsi="宋体" w:eastAsia="仿宋_GB2312"/>
          <w:sz w:val="32"/>
          <w:szCs w:val="32"/>
        </w:rPr>
        <w:t>单列编制），副部长2名（1名副部长兼任民族宗教事务局局长，1名副部长兼任县工商联党组书记），</w:t>
      </w:r>
      <w:r>
        <w:rPr>
          <w:rFonts w:hint="eastAsia" w:ascii="仿宋_GB2312" w:hAnsi="宋体" w:eastAsia="仿宋_GB2312"/>
          <w:sz w:val="32"/>
          <w:szCs w:val="32"/>
          <w:lang w:val="en-US" w:eastAsia="zh-CN"/>
        </w:rPr>
        <w:t>一般干部</w:t>
      </w:r>
      <w:r>
        <w:rPr>
          <w:rFonts w:hint="eastAsia" w:ascii="仿宋_GB2312" w:hAnsi="宋体" w:eastAsia="仿宋_GB2312"/>
          <w:sz w:val="32"/>
          <w:szCs w:val="32"/>
        </w:rPr>
        <w:t>1名</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另行核定工勤人员编制1名。 </w:t>
      </w:r>
    </w:p>
    <w:p w14:paraId="2B24981B">
      <w:pPr>
        <w:keepNext w:val="0"/>
        <w:keepLines w:val="0"/>
        <w:pageBreakBefore w:val="0"/>
        <w:widowControl/>
        <w:kinsoku/>
        <w:wordWrap/>
        <w:overflowPunct/>
        <w:topLinePunct w:val="0"/>
        <w:autoSpaceDE/>
        <w:autoSpaceDN/>
        <w:bidi w:val="0"/>
        <w:adjustRightInd/>
        <w:snapToGrid/>
        <w:spacing w:before="581" w:beforeLines="100" w:line="560" w:lineRule="exact"/>
        <w:jc w:val="center"/>
        <w:textAlignment w:val="auto"/>
        <w:outlineLvl w:val="9"/>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14:paraId="3FBF6E79">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2018年预算收支总表</w:t>
      </w:r>
    </w:p>
    <w:p w14:paraId="5C63D0EA">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2018年预算收入总表</w:t>
      </w:r>
    </w:p>
    <w:p w14:paraId="086E9B5F">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2018年预算支出总表</w:t>
      </w:r>
    </w:p>
    <w:p w14:paraId="7FE4711F">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2018年财政拨款收支总表</w:t>
      </w:r>
    </w:p>
    <w:p w14:paraId="70F3BB6E">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2018年一般公共预算支出预算表</w:t>
      </w:r>
    </w:p>
    <w:p w14:paraId="23C8E65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2018年一般公共预算安排基本支出分经济科目表</w:t>
      </w:r>
    </w:p>
    <w:p w14:paraId="25171EE1">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2018年政府性基金预算收入预算表</w:t>
      </w:r>
    </w:p>
    <w:p w14:paraId="6ED9E4FD">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2018年政府性基金预算支出预算表</w:t>
      </w:r>
    </w:p>
    <w:p w14:paraId="5D83B81D">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2018年“三公”经费预算财政拨款情况统计表</w:t>
      </w:r>
    </w:p>
    <w:p w14:paraId="2474471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浮山县委统战部</w:t>
      </w:r>
      <w:r>
        <w:rPr>
          <w:rFonts w:hint="eastAsia" w:ascii="仿宋_GB2312" w:hAnsi="楷体" w:eastAsia="仿宋_GB2312"/>
          <w:kern w:val="0"/>
          <w:sz w:val="32"/>
          <w:szCs w:val="32"/>
        </w:rPr>
        <w:t>2018年机关运行经费预算财政拨款情况统计表</w:t>
      </w:r>
    </w:p>
    <w:p w14:paraId="4C3EB20F">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14:paraId="7889D4EF">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14:paraId="4D1B143A">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委统战部2018年部门预算48.99万元，比2017年预算增加21.36万元。其中：工资福利支出比2017年增加了7.73万元，增加原因为2018年代扣了养老保险和职业年金。商品和服务支出比2017年增加了4.17万元，增加原因为2018年商品和服务支出里面包括了工会经费、职工福利费和其他交通费。对个人和家庭补助支出比2017年减少了33.27万元，减少原因为2018年预算中不包括退休人工资，退休人员工资移交社保机构发放。</w:t>
      </w:r>
    </w:p>
    <w:p w14:paraId="61030A59">
      <w:pPr>
        <w:widowControl/>
        <w:numPr>
          <w:ilvl w:val="0"/>
          <w:numId w:val="0"/>
        </w:numPr>
        <w:spacing w:line="560" w:lineRule="exact"/>
        <w:ind w:left="641" w:leftChars="0"/>
        <w:rPr>
          <w:rFonts w:hint="eastAsia" w:ascii="仿宋_GB2312" w:hAnsi="楷体" w:eastAsia="仿宋_GB2312"/>
          <w:kern w:val="0"/>
          <w:sz w:val="32"/>
          <w:szCs w:val="32"/>
        </w:rPr>
      </w:pPr>
      <w:r>
        <w:rPr>
          <w:rFonts w:hint="eastAsia" w:ascii="仿宋_GB2312" w:hAnsi="楷体" w:eastAsia="仿宋_GB2312"/>
          <w:kern w:val="0"/>
          <w:sz w:val="32"/>
          <w:szCs w:val="32"/>
          <w:lang w:val="en-US" w:eastAsia="zh-CN"/>
        </w:rPr>
        <w:t>二、</w:t>
      </w:r>
      <w:r>
        <w:rPr>
          <w:rFonts w:hint="eastAsia" w:ascii="仿宋_GB2312" w:hAnsi="楷体" w:eastAsia="仿宋_GB2312"/>
          <w:kern w:val="0"/>
          <w:sz w:val="32"/>
          <w:szCs w:val="32"/>
        </w:rPr>
        <w:t>“三公”经费增减变动原因说明</w:t>
      </w:r>
    </w:p>
    <w:p w14:paraId="2E8E386D">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楷体" w:eastAsia="仿宋_GB2312"/>
          <w:kern w:val="0"/>
          <w:sz w:val="32"/>
          <w:szCs w:val="32"/>
          <w:lang w:val="en-US" w:eastAsia="zh-CN"/>
        </w:rPr>
      </w:pPr>
      <w:r>
        <w:rPr>
          <w:rFonts w:hint="eastAsia" w:ascii="仿宋_GB2312" w:hAnsi="楷体" w:eastAsia="仿宋_GB2312"/>
          <w:kern w:val="0"/>
          <w:sz w:val="32"/>
          <w:szCs w:val="32"/>
        </w:rPr>
        <w:t>2018年“三公”经费预算为</w:t>
      </w:r>
      <w:r>
        <w:rPr>
          <w:rFonts w:hint="eastAsia" w:ascii="仿宋_GB2312" w:hAnsi="楷体" w:eastAsia="仿宋_GB2312"/>
          <w:kern w:val="0"/>
          <w:sz w:val="32"/>
          <w:szCs w:val="32"/>
          <w:lang w:val="en-US" w:eastAsia="zh-CN"/>
        </w:rPr>
        <w:t>1.76万元</w:t>
      </w:r>
      <w:r>
        <w:rPr>
          <w:rFonts w:hint="eastAsia" w:ascii="仿宋_GB2312" w:hAnsi="楷体" w:eastAsia="仿宋_GB2312"/>
          <w:kern w:val="0"/>
          <w:sz w:val="32"/>
          <w:szCs w:val="32"/>
        </w:rPr>
        <w:t>，</w:t>
      </w:r>
      <w:r>
        <w:rPr>
          <w:rFonts w:hint="eastAsia" w:ascii="仿宋_GB2312" w:hAnsi="楷体" w:eastAsia="仿宋_GB2312"/>
          <w:kern w:val="0"/>
          <w:sz w:val="32"/>
          <w:szCs w:val="32"/>
          <w:lang w:val="en-US" w:eastAsia="zh-CN"/>
        </w:rPr>
        <w:t>比2017年减少0.24万元。</w:t>
      </w:r>
      <w:r>
        <w:rPr>
          <w:rFonts w:hint="eastAsia" w:ascii="仿宋_GB2312" w:hAnsi="楷体" w:eastAsia="仿宋_GB2312"/>
          <w:kern w:val="0"/>
          <w:sz w:val="32"/>
          <w:szCs w:val="32"/>
        </w:rPr>
        <w:t>其中：</w:t>
      </w:r>
      <w:r>
        <w:rPr>
          <w:rFonts w:hint="eastAsia" w:ascii="仿宋_GB2312" w:hAnsi="楷体" w:eastAsia="仿宋_GB2312"/>
          <w:kern w:val="0"/>
          <w:sz w:val="32"/>
          <w:szCs w:val="32"/>
          <w:lang w:val="en-US" w:eastAsia="zh-CN"/>
        </w:rPr>
        <w:t>培训费1.76万元，比上年减少0.24万元。</w:t>
      </w:r>
    </w:p>
    <w:p w14:paraId="0BD77877">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14:paraId="6692B5F8">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浮山县委统战部</w:t>
      </w:r>
      <w:r>
        <w:rPr>
          <w:rFonts w:hint="eastAsia" w:ascii="仿宋_GB2312" w:hAnsi="仿宋" w:eastAsia="仿宋_GB2312"/>
          <w:kern w:val="0"/>
          <w:sz w:val="32"/>
          <w:szCs w:val="32"/>
        </w:rPr>
        <w:t>2018年</w:t>
      </w:r>
      <w:r>
        <w:rPr>
          <w:rFonts w:hint="eastAsia" w:ascii="仿宋" w:hAnsi="仿宋" w:eastAsia="仿宋"/>
          <w:sz w:val="32"/>
          <w:szCs w:val="32"/>
        </w:rPr>
        <w:t>机关运行经费财政拨款预算</w:t>
      </w:r>
      <w:r>
        <w:rPr>
          <w:rFonts w:hint="eastAsia" w:ascii="仿宋" w:hAnsi="仿宋" w:eastAsia="仿宋"/>
          <w:sz w:val="32"/>
          <w:szCs w:val="32"/>
          <w:lang w:val="en-US" w:eastAsia="zh-CN"/>
        </w:rPr>
        <w:t>14.32</w:t>
      </w:r>
      <w:r>
        <w:rPr>
          <w:rFonts w:hint="eastAsia" w:ascii="仿宋" w:hAnsi="仿宋" w:eastAsia="仿宋"/>
          <w:sz w:val="32"/>
          <w:szCs w:val="32"/>
        </w:rPr>
        <w:t>万元，</w:t>
      </w:r>
      <w:r>
        <w:rPr>
          <w:rFonts w:hint="eastAsia" w:ascii="仿宋" w:hAnsi="仿宋" w:eastAsia="仿宋"/>
          <w:sz w:val="32"/>
          <w:szCs w:val="32"/>
          <w:lang w:eastAsia="zh-CN"/>
        </w:rPr>
        <w:t>与</w:t>
      </w:r>
      <w:r>
        <w:rPr>
          <w:rFonts w:hint="eastAsia" w:ascii="仿宋" w:hAnsi="仿宋" w:eastAsia="仿宋"/>
          <w:sz w:val="32"/>
          <w:szCs w:val="32"/>
        </w:rPr>
        <w:t>201</w:t>
      </w:r>
      <w:r>
        <w:rPr>
          <w:rFonts w:hint="eastAsia" w:ascii="仿宋" w:hAnsi="仿宋" w:eastAsia="仿宋"/>
          <w:sz w:val="32"/>
          <w:szCs w:val="32"/>
          <w:lang w:val="en-US" w:eastAsia="zh-CN"/>
        </w:rPr>
        <w:t>7</w:t>
      </w:r>
      <w:r>
        <w:rPr>
          <w:rFonts w:hint="eastAsia" w:ascii="仿宋" w:hAnsi="仿宋" w:eastAsia="仿宋"/>
          <w:sz w:val="32"/>
          <w:szCs w:val="32"/>
        </w:rPr>
        <w:t>年预算</w:t>
      </w:r>
      <w:r>
        <w:rPr>
          <w:rFonts w:hint="eastAsia" w:ascii="仿宋" w:hAnsi="仿宋" w:eastAsia="仿宋"/>
          <w:sz w:val="32"/>
          <w:szCs w:val="32"/>
          <w:lang w:eastAsia="zh-CN"/>
        </w:rPr>
        <w:t>相比</w:t>
      </w:r>
      <w:r>
        <w:rPr>
          <w:rFonts w:hint="eastAsia" w:ascii="仿宋" w:hAnsi="仿宋" w:eastAsia="仿宋"/>
          <w:sz w:val="32"/>
          <w:szCs w:val="32"/>
          <w:lang w:val="en-US" w:eastAsia="zh-CN"/>
        </w:rPr>
        <w:t>增加4.17，增加了29.15%，增加原因为2018年商品和服务支出里面包括了工会经费、职工福利费和其他交通费</w:t>
      </w:r>
      <w:r>
        <w:rPr>
          <w:rFonts w:hint="eastAsia" w:ascii="仿宋" w:hAnsi="仿宋" w:eastAsia="仿宋"/>
          <w:sz w:val="32"/>
          <w:szCs w:val="32"/>
        </w:rPr>
        <w:t>。</w:t>
      </w:r>
    </w:p>
    <w:p w14:paraId="2057FA9C">
      <w:pPr>
        <w:widowControl/>
        <w:numPr>
          <w:ilvl w:val="0"/>
          <w:numId w:val="0"/>
        </w:numPr>
        <w:spacing w:line="560" w:lineRule="exact"/>
        <w:ind w:left="641" w:leftChars="0"/>
        <w:rPr>
          <w:rFonts w:hint="eastAsia" w:ascii="仿宋_GB2312" w:hAnsi="仿宋" w:eastAsia="仿宋_GB2312"/>
          <w:kern w:val="0"/>
          <w:sz w:val="32"/>
          <w:szCs w:val="32"/>
        </w:rPr>
      </w:pPr>
      <w:r>
        <w:rPr>
          <w:rFonts w:hint="eastAsia" w:ascii="仿宋_GB2312" w:hAnsi="仿宋" w:eastAsia="仿宋_GB2312"/>
          <w:kern w:val="0"/>
          <w:sz w:val="32"/>
          <w:szCs w:val="32"/>
          <w:lang w:val="en-US" w:eastAsia="zh-CN"/>
        </w:rPr>
        <w:t>四、</w:t>
      </w:r>
      <w:r>
        <w:rPr>
          <w:rFonts w:hint="eastAsia" w:ascii="仿宋_GB2312" w:hAnsi="仿宋" w:eastAsia="仿宋_GB2312"/>
          <w:kern w:val="0"/>
          <w:sz w:val="32"/>
          <w:szCs w:val="32"/>
        </w:rPr>
        <w:t>政府采购情况</w:t>
      </w:r>
    </w:p>
    <w:p w14:paraId="6E7EC55C">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lang w:val="en-US" w:eastAsia="zh-CN"/>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w:t>
      </w:r>
      <w:r>
        <w:rPr>
          <w:rFonts w:hint="eastAsia" w:ascii="仿宋" w:hAnsi="仿宋" w:eastAsia="仿宋"/>
          <w:sz w:val="32"/>
          <w:szCs w:val="32"/>
          <w:lang w:eastAsia="zh-CN"/>
        </w:rPr>
        <w:t>浮山</w:t>
      </w:r>
      <w:r>
        <w:rPr>
          <w:rFonts w:hint="eastAsia" w:ascii="仿宋" w:hAnsi="仿宋" w:eastAsia="仿宋"/>
          <w:sz w:val="32"/>
          <w:szCs w:val="32"/>
          <w:lang w:val="en-US" w:eastAsia="zh-CN"/>
        </w:rPr>
        <w:t>县委统战部</w:t>
      </w:r>
      <w:r>
        <w:rPr>
          <w:rFonts w:hint="eastAsia" w:ascii="仿宋" w:hAnsi="仿宋" w:eastAsia="仿宋"/>
          <w:sz w:val="32"/>
          <w:szCs w:val="32"/>
        </w:rPr>
        <w:t>政府采购预算总额</w:t>
      </w:r>
      <w:r>
        <w:rPr>
          <w:rFonts w:hint="eastAsia" w:ascii="仿宋" w:hAnsi="仿宋" w:eastAsia="仿宋"/>
          <w:sz w:val="32"/>
          <w:szCs w:val="32"/>
          <w:lang w:val="en-US" w:eastAsia="zh-CN"/>
        </w:rPr>
        <w:t>0.7</w:t>
      </w:r>
      <w:r>
        <w:rPr>
          <w:rFonts w:hint="eastAsia" w:ascii="仿宋" w:hAnsi="仿宋" w:eastAsia="仿宋"/>
          <w:sz w:val="32"/>
          <w:szCs w:val="32"/>
        </w:rPr>
        <w:t>万元。</w:t>
      </w:r>
      <w:r>
        <w:rPr>
          <w:rFonts w:hint="eastAsia" w:ascii="仿宋" w:hAnsi="仿宋" w:eastAsia="仿宋"/>
          <w:sz w:val="32"/>
          <w:szCs w:val="32"/>
          <w:lang w:val="en-US" w:eastAsia="zh-CN"/>
        </w:rPr>
        <w:t>其中：政府采购货物预算0.7万元。</w:t>
      </w:r>
    </w:p>
    <w:p w14:paraId="04F04D8C">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rPr>
      </w:pPr>
      <w:r>
        <w:rPr>
          <w:rFonts w:hint="eastAsia" w:ascii="仿宋" w:hAnsi="仿宋" w:eastAsia="仿宋"/>
          <w:sz w:val="32"/>
          <w:szCs w:val="32"/>
          <w:lang w:val="en-US" w:eastAsia="zh-CN"/>
        </w:rPr>
        <w:t>五</w:t>
      </w:r>
      <w:r>
        <w:rPr>
          <w:rFonts w:hint="eastAsia" w:ascii="仿宋" w:hAnsi="仿宋" w:eastAsia="仿宋"/>
          <w:sz w:val="32"/>
          <w:szCs w:val="32"/>
        </w:rPr>
        <w:t>、关于国有资产占用情况说明</w:t>
      </w:r>
    </w:p>
    <w:p w14:paraId="1C7671E5">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rPr>
      </w:pPr>
      <w:r>
        <w:rPr>
          <w:rFonts w:hint="eastAsia" w:ascii="仿宋" w:hAnsi="仿宋" w:eastAsia="仿宋"/>
          <w:sz w:val="32"/>
          <w:szCs w:val="32"/>
        </w:rPr>
        <w:t>截至2017年12月31日，本单位固定资产年末数</w:t>
      </w:r>
      <w:r>
        <w:rPr>
          <w:rFonts w:hint="eastAsia" w:ascii="仿宋" w:hAnsi="仿宋" w:eastAsia="仿宋"/>
          <w:sz w:val="32"/>
          <w:szCs w:val="32"/>
          <w:lang w:val="en-US" w:eastAsia="zh-CN"/>
        </w:rPr>
        <w:t>21.19</w:t>
      </w:r>
      <w:r>
        <w:rPr>
          <w:rFonts w:hint="eastAsia" w:ascii="仿宋" w:hAnsi="仿宋" w:eastAsia="仿宋"/>
          <w:sz w:val="32"/>
          <w:szCs w:val="32"/>
        </w:rPr>
        <w:t>万元。</w:t>
      </w:r>
      <w:r>
        <w:rPr>
          <w:rFonts w:hint="eastAsia" w:ascii="仿宋" w:hAnsi="仿宋" w:eastAsia="仿宋"/>
          <w:sz w:val="32"/>
          <w:szCs w:val="32"/>
          <w:lang w:val="en-US" w:eastAsia="zh-CN"/>
        </w:rPr>
        <w:t>其中:我</w:t>
      </w:r>
      <w:r>
        <w:rPr>
          <w:rFonts w:hint="eastAsia" w:ascii="仿宋" w:hAnsi="仿宋" w:eastAsia="仿宋"/>
          <w:sz w:val="32"/>
          <w:szCs w:val="32"/>
        </w:rPr>
        <w:t>单位</w:t>
      </w:r>
      <w:r>
        <w:rPr>
          <w:rFonts w:hint="eastAsia" w:ascii="仿宋" w:hAnsi="仿宋" w:eastAsia="仿宋"/>
          <w:sz w:val="32"/>
          <w:szCs w:val="32"/>
          <w:lang w:val="en-US" w:eastAsia="zh-CN"/>
        </w:rPr>
        <w:t>有一般公务</w:t>
      </w:r>
      <w:r>
        <w:rPr>
          <w:rFonts w:hint="eastAsia" w:ascii="仿宋" w:hAnsi="仿宋" w:eastAsia="仿宋"/>
          <w:sz w:val="32"/>
          <w:szCs w:val="32"/>
        </w:rPr>
        <w:t>车辆</w:t>
      </w:r>
      <w:r>
        <w:rPr>
          <w:rFonts w:hint="eastAsia" w:ascii="仿宋" w:hAnsi="仿宋" w:eastAsia="仿宋"/>
          <w:sz w:val="32"/>
          <w:szCs w:val="32"/>
          <w:lang w:val="en-US" w:eastAsia="zh-CN"/>
        </w:rPr>
        <w:t>1</w:t>
      </w:r>
      <w:r>
        <w:rPr>
          <w:rFonts w:hint="eastAsia" w:ascii="仿宋" w:hAnsi="仿宋" w:eastAsia="仿宋"/>
          <w:sz w:val="32"/>
          <w:szCs w:val="32"/>
        </w:rPr>
        <w:t>辆，</w:t>
      </w:r>
      <w:r>
        <w:rPr>
          <w:rFonts w:hint="eastAsia" w:ascii="仿宋" w:hAnsi="仿宋" w:eastAsia="仿宋"/>
          <w:sz w:val="32"/>
          <w:szCs w:val="32"/>
          <w:lang w:val="en-US" w:eastAsia="zh-CN"/>
        </w:rPr>
        <w:t>2015年底按县上要求已移交机关事务管理局，</w:t>
      </w:r>
      <w:r>
        <w:rPr>
          <w:rFonts w:hint="eastAsia" w:ascii="仿宋" w:hAnsi="仿宋" w:eastAsia="仿宋"/>
          <w:sz w:val="32"/>
          <w:szCs w:val="32"/>
        </w:rPr>
        <w:t>单位价值50万元以上通用设备0台，单位价值100万元以上专用设备0台。</w:t>
      </w:r>
    </w:p>
    <w:p w14:paraId="6BB0A02D">
      <w:pPr>
        <w:keepNext w:val="0"/>
        <w:keepLines w:val="0"/>
        <w:pageBreakBefore w:val="0"/>
        <w:numPr>
          <w:ilvl w:val="0"/>
          <w:numId w:val="2"/>
        </w:numPr>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重点项目绩效情况</w:t>
      </w:r>
    </w:p>
    <w:p w14:paraId="39608274">
      <w:pPr>
        <w:keepNext w:val="0"/>
        <w:keepLines w:val="0"/>
        <w:pageBreakBefore w:val="0"/>
        <w:numPr>
          <w:ilvl w:val="0"/>
          <w:numId w:val="0"/>
        </w:numPr>
        <w:kinsoku/>
        <w:wordWrap/>
        <w:overflowPunct/>
        <w:topLinePunct w:val="0"/>
        <w:autoSpaceDE/>
        <w:autoSpaceDN/>
        <w:bidi w:val="0"/>
        <w:adjustRightInd/>
        <w:spacing w:beforeAutospacing="0" w:afterAutospacing="0" w:line="580" w:lineRule="exact"/>
        <w:ind w:right="0" w:rightChars="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2018年部门预算我单位无重点项目支出</w:t>
      </w:r>
    </w:p>
    <w:p w14:paraId="73998C6E">
      <w:pPr>
        <w:widowControl/>
        <w:spacing w:line="560" w:lineRule="exact"/>
        <w:ind w:firstLine="636"/>
        <w:rPr>
          <w:rFonts w:hint="eastAsia" w:ascii="仿宋_GB2312" w:hAnsi="楷体" w:eastAsia="仿宋_GB2312"/>
          <w:kern w:val="0"/>
          <w:sz w:val="32"/>
          <w:szCs w:val="32"/>
        </w:rPr>
      </w:pPr>
    </w:p>
    <w:p w14:paraId="44E11743">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14:paraId="59D1A1BD">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14:paraId="440BC88D">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14:paraId="6F667162">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14:paraId="0DD347AE">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14:paraId="1ED4B081">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6C7D1FEC">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w:t>
      </w:r>
      <w:r>
        <w:rPr>
          <w:rFonts w:hint="eastAsia" w:ascii="仿宋_GB2312" w:hAnsi="仿宋" w:eastAsia="仿宋_GB2312"/>
          <w:kern w:val="0"/>
          <w:sz w:val="32"/>
          <w:szCs w:val="32"/>
          <w:lang w:val="en-US" w:eastAsia="zh-CN"/>
        </w:rPr>
        <w:t>支出。</w:t>
      </w:r>
    </w:p>
    <w:p w14:paraId="5B3C9CC8"/>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0352">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14:paraId="08AF21B4">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3D330">
    <w:pPr>
      <w:pStyle w:val="2"/>
      <w:framePr w:w="1690" w:h="790" w:hRule="exact" w:wrap="around" w:vAnchor="text" w:hAnchor="page" w:x="1588"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2</w:t>
    </w:r>
    <w:r>
      <w:rPr>
        <w:rFonts w:ascii="宋体" w:hAnsi="宋体"/>
        <w:sz w:val="28"/>
        <w:szCs w:val="28"/>
      </w:rPr>
      <w:fldChar w:fldCharType="end"/>
    </w:r>
    <w:r>
      <w:rPr>
        <w:rStyle w:val="7"/>
        <w:rFonts w:hint="eastAsia" w:ascii="宋体" w:hAnsi="宋体"/>
        <w:sz w:val="28"/>
        <w:szCs w:val="28"/>
      </w:rPr>
      <w:t xml:space="preserve"> —</w:t>
    </w:r>
  </w:p>
  <w:p w14:paraId="4E184D36">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E824">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14:paraId="6D104058">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63D5">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737BF"/>
    <w:multiLevelType w:val="singleLevel"/>
    <w:tmpl w:val="D01737BF"/>
    <w:lvl w:ilvl="0" w:tentative="0">
      <w:start w:val="6"/>
      <w:numFmt w:val="chineseCounting"/>
      <w:suff w:val="nothing"/>
      <w:lvlText w:val="%1、"/>
      <w:lvlJc w:val="left"/>
      <w:rPr>
        <w:rFonts w:hint="eastAsia"/>
      </w:rPr>
    </w:lvl>
  </w:abstractNum>
  <w:abstractNum w:abstractNumId="1">
    <w:nsid w:val="30FCED28"/>
    <w:multiLevelType w:val="singleLevel"/>
    <w:tmpl w:val="30FCED2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Mjg3ZmMzMGU1YzVkMTFiMGU3Mzc0MmE1Mjc1MDYifQ=="/>
  </w:docVars>
  <w:rsids>
    <w:rsidRoot w:val="00000000"/>
    <w:rsid w:val="01492B15"/>
    <w:rsid w:val="05C972B8"/>
    <w:rsid w:val="08E473A8"/>
    <w:rsid w:val="0DEC6561"/>
    <w:rsid w:val="0E0A19CE"/>
    <w:rsid w:val="14123E37"/>
    <w:rsid w:val="16C5106F"/>
    <w:rsid w:val="1C135740"/>
    <w:rsid w:val="25F53368"/>
    <w:rsid w:val="266D069F"/>
    <w:rsid w:val="33DE7467"/>
    <w:rsid w:val="360C1DC9"/>
    <w:rsid w:val="36360EFF"/>
    <w:rsid w:val="380148CC"/>
    <w:rsid w:val="38B209CB"/>
    <w:rsid w:val="3B784FD1"/>
    <w:rsid w:val="3E812B19"/>
    <w:rsid w:val="465644DC"/>
    <w:rsid w:val="50B01D8B"/>
    <w:rsid w:val="5A0A5403"/>
    <w:rsid w:val="6C2F35BC"/>
    <w:rsid w:val="6EF20DC7"/>
    <w:rsid w:val="712711C9"/>
    <w:rsid w:val="736F1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2701</Words>
  <Characters>2850</Characters>
  <Lines>0</Lines>
  <Paragraphs>0</Paragraphs>
  <TotalTime>28</TotalTime>
  <ScaleCrop>false</ScaleCrop>
  <LinksUpToDate>false</LinksUpToDate>
  <CharactersWithSpaces>2860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dcterms:modified xsi:type="dcterms:W3CDTF">2024-08-09T01:59:05Z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35D5D4E3ACC242918D00B9FCC12B37F6_12</vt:lpwstr>
  </property>
</Properties>
</file>