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F888E">
      <w:pPr>
        <w:widowControl/>
        <w:shd w:val="clear" w:color="auto" w:fill="FFFFFF"/>
        <w:tabs>
          <w:tab w:val="left" w:pos="7200"/>
          <w:tab w:val="left" w:pos="7560"/>
        </w:tabs>
        <w:spacing w:line="560" w:lineRule="exact"/>
        <w:jc w:val="left"/>
        <w:rPr>
          <w:rFonts w:hint="eastAsia" w:ascii="仿宋_GB2312" w:hAnsi="宋体" w:eastAsia="仿宋_GB2312" w:cs="宋体"/>
          <w:kern w:val="0"/>
          <w:szCs w:val="32"/>
          <w:lang w:eastAsia="zh-CN"/>
        </w:rPr>
      </w:pPr>
    </w:p>
    <w:p w14:paraId="58E7836A">
      <w:pPr>
        <w:widowControl/>
        <w:shd w:val="clear" w:color="auto" w:fill="FFFFFF"/>
        <w:tabs>
          <w:tab w:val="left" w:pos="7200"/>
          <w:tab w:val="left" w:pos="7560"/>
        </w:tabs>
        <w:spacing w:line="560" w:lineRule="exact"/>
        <w:ind w:firstLine="2200" w:firstLineChars="500"/>
        <w:jc w:val="left"/>
        <w:rPr>
          <w:rFonts w:hint="eastAsia" w:ascii="方正小标宋简体" w:hAnsi="宋体" w:eastAsia="方正小标宋简体" w:cs="宋体"/>
          <w:kern w:val="0"/>
          <w:sz w:val="44"/>
          <w:szCs w:val="44"/>
          <w:lang w:eastAsia="zh-CN"/>
        </w:rPr>
      </w:pPr>
      <w:r>
        <w:rPr>
          <w:rFonts w:hint="eastAsia" w:ascii="方正小标宋简体" w:hAnsi="宋体" w:eastAsia="方正小标宋简体" w:cs="宋体"/>
          <w:kern w:val="0"/>
          <w:sz w:val="44"/>
          <w:szCs w:val="44"/>
          <w:lang w:eastAsia="zh-CN"/>
        </w:rPr>
        <w:t>浮山县中小企业服务中心</w:t>
      </w:r>
    </w:p>
    <w:p w14:paraId="686391D8">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14:paraId="49186375">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14:paraId="6427DA39">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14:paraId="75A344A8">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中小企业服务中心围绕全县经济工作会议精神和全县中小企业工作目标，提高了办事效率，优化了发展环境，有力地促进了全县中小企业发展。強化对企业经营管理，加大了小升规企业的培育，有利带动了全县中小企业科技创新和管理创新。加强中小企业人才培育，通过省市各种培育班和科技人员技术职称评定，为企业经营管理培育了人才，促进了企业人才队伍建设。加大了对企业服务力度。充分发挥县小微企业服务站功能，为全县中小企业提供</w:t>
      </w:r>
      <w:r>
        <w:rPr>
          <w:rFonts w:hint="eastAsia" w:ascii="仿宋_GB2312" w:hAnsi="楷体" w:eastAsia="仿宋_GB2312"/>
          <w:kern w:val="0"/>
          <w:sz w:val="32"/>
          <w:szCs w:val="32"/>
          <w:lang w:eastAsia="zh-CN"/>
        </w:rPr>
        <w:t>咨</w:t>
      </w:r>
      <w:r>
        <w:rPr>
          <w:rFonts w:hint="eastAsia" w:ascii="仿宋_GB2312" w:hAnsi="楷体" w:eastAsia="仿宋_GB2312"/>
          <w:kern w:val="0"/>
          <w:sz w:val="32"/>
          <w:szCs w:val="32"/>
        </w:rPr>
        <w:t>询，办证，</w:t>
      </w:r>
      <w:r>
        <w:rPr>
          <w:rFonts w:hint="eastAsia" w:ascii="仿宋_GB2312" w:hAnsi="楷体" w:eastAsia="仿宋_GB2312"/>
          <w:kern w:val="0"/>
          <w:sz w:val="32"/>
          <w:szCs w:val="32"/>
          <w:lang w:eastAsia="zh-CN"/>
        </w:rPr>
        <w:t>账</w:t>
      </w:r>
      <w:bookmarkStart w:id="0" w:name="_GoBack"/>
      <w:bookmarkEnd w:id="0"/>
      <w:r>
        <w:rPr>
          <w:rFonts w:hint="eastAsia" w:ascii="仿宋_GB2312" w:hAnsi="楷体" w:eastAsia="仿宋_GB2312"/>
          <w:kern w:val="0"/>
          <w:sz w:val="32"/>
          <w:szCs w:val="32"/>
        </w:rPr>
        <w:t>务，开户，贷款，审核等全方位服务，促进了中小企业健康发展。</w:t>
      </w:r>
    </w:p>
    <w:p w14:paraId="3DEA7EB2">
      <w:pPr>
        <w:widowControl/>
        <w:numPr>
          <w:ilvl w:val="0"/>
          <w:numId w:val="1"/>
        </w:numPr>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机构设置情况</w:t>
      </w:r>
    </w:p>
    <w:p w14:paraId="07687073">
      <w:pPr>
        <w:widowControl/>
        <w:numPr>
          <w:ilvl w:val="0"/>
          <w:numId w:val="0"/>
        </w:numPr>
        <w:spacing w:line="560" w:lineRule="exact"/>
        <w:ind w:firstLine="960" w:firstLineChars="300"/>
        <w:rPr>
          <w:rFonts w:hint="eastAsia" w:ascii="仿宋_GB2312" w:hAnsi="楷体" w:eastAsia="仿宋_GB2312"/>
          <w:kern w:val="0"/>
          <w:sz w:val="32"/>
          <w:szCs w:val="32"/>
        </w:rPr>
      </w:pPr>
      <w:r>
        <w:rPr>
          <w:rFonts w:hint="eastAsia" w:ascii="仿宋_GB2312" w:hAnsi="楷体" w:eastAsia="仿宋_GB2312"/>
          <w:kern w:val="0"/>
          <w:sz w:val="32"/>
          <w:szCs w:val="32"/>
        </w:rPr>
        <w:t>中小企业服务中心是指导协调服务全县中小企业发展的职能部门内设办公室发展规划股产业指导股中小企业教育培训中心干部职工在职18人负责全县中小企业发展规划招商引资重点项目经贸洽谈产品展销教育培训企业转型经济运行等事宜并为全县中小企业转型夸越发展提供政策咨询刨业辅导引资融资等提供便利全方位服务</w:t>
      </w:r>
    </w:p>
    <w:p w14:paraId="79ADC133">
      <w:pPr>
        <w:widowControl/>
        <w:spacing w:line="560" w:lineRule="exact"/>
        <w:ind w:firstLine="640"/>
        <w:rPr>
          <w:rFonts w:hint="eastAsia" w:ascii="仿宋_GB2312" w:hAnsi="楷体" w:eastAsia="仿宋_GB2312"/>
          <w:kern w:val="0"/>
          <w:sz w:val="32"/>
          <w:szCs w:val="32"/>
        </w:rPr>
      </w:pPr>
    </w:p>
    <w:p w14:paraId="2B2FE1B3">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14:paraId="4BCEBA0A">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一、2018年预算收支总表</w:t>
      </w:r>
    </w:p>
    <w:p w14:paraId="27F044BD">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二、2018年预算收入总表</w:t>
      </w:r>
    </w:p>
    <w:p w14:paraId="00C1812D">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三、2018年预算支出总表</w:t>
      </w:r>
    </w:p>
    <w:p w14:paraId="08774AD9">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四、2018年财政拨款收支总表</w:t>
      </w:r>
    </w:p>
    <w:p w14:paraId="234C0F2E">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五、2018年一般公共预算支出预算表</w:t>
      </w:r>
    </w:p>
    <w:p w14:paraId="374BCD95">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六、2018年一般公共预算安排基本支出分经济科目表</w:t>
      </w:r>
    </w:p>
    <w:p w14:paraId="305411FB">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七、2018年政府性基金预算收入预算表</w:t>
      </w:r>
    </w:p>
    <w:p w14:paraId="62FB5F96">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八、2018年政府性基金预算支出预算表</w:t>
      </w:r>
    </w:p>
    <w:p w14:paraId="2848B3D2">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九、2018年“三公”经费预算财政拨款情况统计表</w:t>
      </w:r>
    </w:p>
    <w:p w14:paraId="2481C082">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十、2018年机关运行经费预算财政拨款情况统计表</w:t>
      </w:r>
    </w:p>
    <w:p w14:paraId="65E398D5">
      <w:pPr>
        <w:widowControl/>
        <w:spacing w:line="560" w:lineRule="exact"/>
        <w:ind w:firstLine="640" w:firstLineChars="200"/>
        <w:jc w:val="both"/>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14:paraId="35432C3B">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14:paraId="2CBFA576">
      <w:pPr>
        <w:keepNext w:val="0"/>
        <w:keepLines w:val="0"/>
        <w:pageBreakBefore w:val="0"/>
        <w:kinsoku/>
        <w:wordWrap/>
        <w:overflowPunct/>
        <w:topLinePunct w:val="0"/>
        <w:autoSpaceDE/>
        <w:autoSpaceDN/>
        <w:bidi w:val="0"/>
        <w:adjustRightInd/>
        <w:spacing w:beforeAutospacing="0" w:afterAutospacing="0" w:line="580" w:lineRule="exact"/>
        <w:ind w:right="0" w:rightChars="0" w:firstLine="636"/>
        <w:textAlignment w:val="auto"/>
        <w:outlineLvl w:val="9"/>
        <w:rPr>
          <w:rFonts w:hint="eastAsia" w:ascii="仿宋_GB2312" w:hAnsi="楷体" w:eastAsia="仿宋_GB2312"/>
          <w:kern w:val="0"/>
          <w:sz w:val="32"/>
          <w:szCs w:val="32"/>
        </w:rPr>
      </w:pPr>
      <w:r>
        <w:rPr>
          <w:rFonts w:hint="eastAsia" w:ascii="仿宋" w:hAnsi="仿宋" w:eastAsia="仿宋"/>
          <w:sz w:val="32"/>
          <w:szCs w:val="32"/>
          <w:lang w:val="en-US" w:eastAsia="zh-CN"/>
        </w:rPr>
        <w:t>浮山县中小企业局2018年部门预算104.57万元，比2017年预算较少16.66万元。其中：工资福利支出比2017年增加了13.46万元，增加原因为2018年代扣了养老保险和职业年金。商品和服务支出比2017年增加了5.2万元，增加原因为2018年商品和服务支出里面包括了工会经费、职工福利费和其他交通费。对个人和家庭补助支出比2017年减少了35.32万元，减少原因为2018年预算中不包括退休人工资，退休人员工资移交社保机构发放。</w:t>
      </w:r>
    </w:p>
    <w:p w14:paraId="2E8ED2B1">
      <w:pPr>
        <w:widowControl/>
        <w:spacing w:line="560" w:lineRule="exact"/>
        <w:ind w:firstLine="636"/>
        <w:rPr>
          <w:rFonts w:hint="eastAsia" w:ascii="仿宋_GB2312" w:hAnsi="楷体" w:eastAsia="仿宋_GB2312"/>
          <w:kern w:val="0"/>
          <w:sz w:val="32"/>
          <w:szCs w:val="32"/>
        </w:rPr>
      </w:pPr>
    </w:p>
    <w:p w14:paraId="1A4A202E">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14:paraId="23DBF5F9">
      <w:pPr>
        <w:widowControl/>
        <w:spacing w:line="560" w:lineRule="exact"/>
        <w:ind w:firstLine="636"/>
        <w:rPr>
          <w:rFonts w:hint="eastAsia" w:ascii="仿宋_GB2312" w:hAnsi="楷体" w:eastAsia="仿宋_GB2312"/>
          <w:kern w:val="0"/>
          <w:sz w:val="32"/>
          <w:szCs w:val="32"/>
          <w:lang w:eastAsia="zh-CN"/>
        </w:rPr>
      </w:pPr>
      <w:r>
        <w:rPr>
          <w:rFonts w:hint="eastAsia" w:ascii="仿宋_GB2312" w:eastAsia="仿宋_GB2312"/>
          <w:sz w:val="32"/>
          <w:szCs w:val="32"/>
          <w:lang w:eastAsia="zh-CN"/>
        </w:rPr>
        <w:t>本单位</w:t>
      </w:r>
      <w:r>
        <w:rPr>
          <w:rFonts w:hint="eastAsia" w:ascii="仿宋_GB2312" w:eastAsia="仿宋_GB2312"/>
          <w:sz w:val="32"/>
          <w:szCs w:val="32"/>
          <w:lang w:val="en-US" w:eastAsia="zh-CN"/>
        </w:rPr>
        <w:t>2017和2018年均</w:t>
      </w:r>
      <w:r>
        <w:rPr>
          <w:rFonts w:hint="eastAsia" w:ascii="仿宋_GB2312" w:eastAsia="仿宋_GB2312"/>
          <w:sz w:val="32"/>
          <w:szCs w:val="32"/>
          <w:lang w:eastAsia="zh-CN"/>
        </w:rPr>
        <w:t>无</w:t>
      </w:r>
      <w:r>
        <w:rPr>
          <w:rFonts w:hint="eastAsia" w:ascii="仿宋_GB2312" w:hAnsi="楷体" w:eastAsia="仿宋_GB2312"/>
          <w:kern w:val="0"/>
          <w:sz w:val="32"/>
          <w:szCs w:val="32"/>
        </w:rPr>
        <w:t>“三公”</w:t>
      </w:r>
      <w:r>
        <w:rPr>
          <w:rFonts w:hint="eastAsia" w:ascii="仿宋_GB2312" w:hAnsi="楷体" w:eastAsia="仿宋_GB2312"/>
          <w:kern w:val="0"/>
          <w:sz w:val="32"/>
          <w:szCs w:val="32"/>
          <w:lang w:eastAsia="zh-CN"/>
        </w:rPr>
        <w:t>经费预算。</w:t>
      </w:r>
    </w:p>
    <w:p w14:paraId="487678B1">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14:paraId="43633B48">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lang w:eastAsia="zh-CN"/>
        </w:rPr>
        <w:t>本中心</w:t>
      </w:r>
      <w:r>
        <w:rPr>
          <w:rFonts w:hint="eastAsia" w:ascii="仿宋_GB2312" w:hAnsi="仿宋" w:eastAsia="仿宋_GB2312"/>
          <w:kern w:val="0"/>
          <w:sz w:val="32"/>
          <w:szCs w:val="32"/>
        </w:rPr>
        <w:t>2018年行政参公单位的机关运行经费财政拨款预算</w:t>
      </w:r>
      <w:r>
        <w:rPr>
          <w:rFonts w:hint="eastAsia" w:ascii="仿宋_GB2312" w:hAnsi="仿宋" w:eastAsia="仿宋_GB2312"/>
          <w:kern w:val="0"/>
          <w:sz w:val="32"/>
          <w:szCs w:val="32"/>
          <w:lang w:val="en-US" w:eastAsia="zh-CN"/>
        </w:rPr>
        <w:t>7.79</w:t>
      </w:r>
      <w:r>
        <w:rPr>
          <w:rFonts w:hint="eastAsia" w:ascii="仿宋_GB2312" w:hAnsi="仿宋" w:eastAsia="仿宋_GB2312"/>
          <w:kern w:val="0"/>
          <w:sz w:val="32"/>
          <w:szCs w:val="32"/>
        </w:rPr>
        <w:t>万元，</w:t>
      </w:r>
      <w:r>
        <w:rPr>
          <w:rFonts w:hint="eastAsia" w:ascii="仿宋" w:hAnsi="仿宋" w:eastAsia="仿宋"/>
          <w:sz w:val="32"/>
          <w:szCs w:val="32"/>
          <w:lang w:val="en-US" w:eastAsia="zh-CN"/>
        </w:rPr>
        <w:t>比2017年增加了5.2万元，增加原因为2018年商品和服务支出里面包括了工会经费、职工福利费和其他交通费。</w:t>
      </w:r>
      <w:r>
        <w:rPr>
          <w:rFonts w:hint="eastAsia" w:ascii="仿宋_GB2312" w:hAnsi="仿宋" w:eastAsia="仿宋_GB2312"/>
          <w:kern w:val="0"/>
          <w:sz w:val="32"/>
          <w:szCs w:val="32"/>
        </w:rPr>
        <w:t>四、政府采购情况</w:t>
      </w:r>
    </w:p>
    <w:p w14:paraId="7BE367FA">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本</w:t>
      </w:r>
      <w:r>
        <w:rPr>
          <w:rFonts w:hint="eastAsia" w:ascii="仿宋_GB2312" w:hAnsi="仿宋" w:eastAsia="仿宋_GB2312"/>
          <w:kern w:val="0"/>
          <w:sz w:val="32"/>
          <w:szCs w:val="32"/>
        </w:rPr>
        <w:t>单位政府采购预算总额</w:t>
      </w:r>
      <w:r>
        <w:rPr>
          <w:rFonts w:hint="eastAsia" w:ascii="仿宋_GB2312" w:hAnsi="仿宋" w:eastAsia="仿宋_GB2312"/>
          <w:kern w:val="0"/>
          <w:sz w:val="32"/>
          <w:szCs w:val="32"/>
          <w:lang w:val="en-US" w:eastAsia="zh-CN"/>
        </w:rPr>
        <w:t>2.2</w:t>
      </w:r>
      <w:r>
        <w:rPr>
          <w:rFonts w:hint="eastAsia" w:ascii="仿宋_GB2312" w:hAnsi="仿宋" w:eastAsia="仿宋_GB2312"/>
          <w:kern w:val="0"/>
          <w:sz w:val="32"/>
          <w:szCs w:val="32"/>
        </w:rPr>
        <w:t>万元</w:t>
      </w:r>
      <w:r>
        <w:rPr>
          <w:rFonts w:hint="eastAsia" w:ascii="仿宋_GB2312" w:hAnsi="仿宋" w:eastAsia="仿宋_GB2312"/>
          <w:kern w:val="0"/>
          <w:sz w:val="32"/>
          <w:szCs w:val="32"/>
          <w:lang w:eastAsia="zh-CN"/>
        </w:rPr>
        <w:t>。</w:t>
      </w:r>
    </w:p>
    <w:p w14:paraId="44C08431">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绩效管理情况</w:t>
      </w:r>
    </w:p>
    <w:p w14:paraId="1830B5D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2018年</w:t>
      </w:r>
      <w:r>
        <w:rPr>
          <w:rFonts w:hint="eastAsia" w:ascii="仿宋" w:hAnsi="仿宋" w:eastAsia="仿宋" w:cs="仿宋"/>
          <w:sz w:val="32"/>
          <w:szCs w:val="32"/>
          <w:lang w:eastAsia="zh-CN"/>
        </w:rPr>
        <w:t>我单位</w:t>
      </w:r>
      <w:r>
        <w:rPr>
          <w:rFonts w:hint="eastAsia" w:ascii="仿宋" w:hAnsi="仿宋" w:eastAsia="仿宋" w:cs="仿宋"/>
          <w:sz w:val="32"/>
          <w:szCs w:val="32"/>
        </w:rPr>
        <w:t>实行绩效目标管理的项目</w:t>
      </w:r>
      <w:r>
        <w:rPr>
          <w:rFonts w:hint="eastAsia" w:ascii="仿宋" w:hAnsi="仿宋" w:eastAsia="仿宋" w:cs="仿宋"/>
          <w:sz w:val="32"/>
          <w:szCs w:val="32"/>
          <w:lang w:val="en-US" w:eastAsia="zh-CN"/>
        </w:rPr>
        <w:t>0</w:t>
      </w:r>
      <w:r>
        <w:rPr>
          <w:rFonts w:hint="eastAsia" w:ascii="仿宋" w:hAnsi="仿宋" w:eastAsia="仿宋" w:cs="仿宋"/>
          <w:sz w:val="32"/>
          <w:szCs w:val="32"/>
        </w:rPr>
        <w:t>个，涉及一般公共预算当年拨款</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2076EDB7">
      <w:pPr>
        <w:widowControl/>
        <w:numPr>
          <w:ilvl w:val="0"/>
          <w:numId w:val="0"/>
        </w:numPr>
        <w:spacing w:line="560" w:lineRule="exact"/>
        <w:rPr>
          <w:rFonts w:hint="eastAsia" w:ascii="仿宋_GB2312" w:hAnsi="楷体" w:eastAsia="仿宋_GB2312"/>
          <w:kern w:val="0"/>
          <w:sz w:val="32"/>
          <w:szCs w:val="32"/>
        </w:rPr>
      </w:pPr>
      <w:r>
        <w:rPr>
          <w:rFonts w:hint="eastAsia" w:ascii="仿宋_GB2312" w:hAnsi="楷体" w:eastAsia="仿宋_GB2312"/>
          <w:kern w:val="0"/>
          <w:sz w:val="32"/>
          <w:szCs w:val="32"/>
          <w:lang w:eastAsia="zh-CN"/>
        </w:rPr>
        <w:t>六、</w:t>
      </w:r>
      <w:r>
        <w:rPr>
          <w:rFonts w:hint="eastAsia" w:ascii="仿宋_GB2312" w:hAnsi="楷体" w:eastAsia="仿宋_GB2312"/>
          <w:kern w:val="0"/>
          <w:sz w:val="32"/>
          <w:szCs w:val="32"/>
        </w:rPr>
        <w:t>其他说明</w:t>
      </w:r>
    </w:p>
    <w:p w14:paraId="4CFD27CE">
      <w:pPr>
        <w:widowControl/>
        <w:numPr>
          <w:ilvl w:val="0"/>
          <w:numId w:val="0"/>
        </w:num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一</w:t>
      </w:r>
      <w:r>
        <w:rPr>
          <w:rFonts w:hint="eastAsia" w:ascii="仿宋_GB2312" w:hAnsi="仿宋" w:eastAsia="仿宋_GB2312"/>
          <w:kern w:val="0"/>
          <w:sz w:val="32"/>
          <w:szCs w:val="32"/>
        </w:rPr>
        <w:t>）国有资产占有使用情况</w:t>
      </w:r>
    </w:p>
    <w:p w14:paraId="72895C98">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rPr>
        <w:t>1.车辆情况；</w:t>
      </w:r>
      <w:r>
        <w:rPr>
          <w:rFonts w:hint="eastAsia" w:ascii="仿宋_GB2312" w:hAnsi="仿宋" w:eastAsia="仿宋_GB2312"/>
          <w:kern w:val="0"/>
          <w:sz w:val="32"/>
          <w:szCs w:val="32"/>
          <w:lang w:eastAsia="zh-CN"/>
        </w:rPr>
        <w:t>无</w:t>
      </w:r>
    </w:p>
    <w:p w14:paraId="1FB329CB">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2.房屋情况；</w:t>
      </w:r>
      <w:r>
        <w:rPr>
          <w:rFonts w:hint="eastAsia" w:ascii="仿宋_GB2312" w:hAnsi="仿宋" w:eastAsia="仿宋_GB2312"/>
          <w:kern w:val="0"/>
          <w:sz w:val="32"/>
          <w:szCs w:val="32"/>
          <w:lang w:eastAsia="zh-CN"/>
        </w:rPr>
        <w:t>无</w:t>
      </w:r>
    </w:p>
    <w:p w14:paraId="2D032A7B">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14:paraId="2E1E3490">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w:t>
      </w:r>
      <w:r>
        <w:rPr>
          <w:rFonts w:hint="eastAsia" w:ascii="仿宋_GB2312" w:hAnsi="仿宋" w:eastAsia="仿宋_GB2312"/>
          <w:kern w:val="0"/>
          <w:sz w:val="32"/>
          <w:szCs w:val="32"/>
          <w:lang w:eastAsia="zh-CN"/>
        </w:rPr>
        <w:t>二</w:t>
      </w:r>
      <w:r>
        <w:rPr>
          <w:rFonts w:hint="eastAsia" w:ascii="仿宋_GB2312" w:hAnsi="仿宋" w:eastAsia="仿宋_GB2312"/>
          <w:kern w:val="0"/>
          <w:sz w:val="32"/>
          <w:szCs w:val="32"/>
        </w:rPr>
        <w:t>）其他</w:t>
      </w:r>
      <w:r>
        <w:rPr>
          <w:rFonts w:hint="eastAsia" w:ascii="仿宋_GB2312" w:hAnsi="仿宋" w:eastAsia="仿宋_GB2312"/>
          <w:kern w:val="0"/>
          <w:sz w:val="32"/>
          <w:szCs w:val="32"/>
          <w:lang w:eastAsia="zh-CN"/>
        </w:rPr>
        <w:t>无</w:t>
      </w:r>
    </w:p>
    <w:p w14:paraId="7D1F2A9A">
      <w:pPr>
        <w:keepNext w:val="0"/>
        <w:keepLines w:val="0"/>
        <w:pageBreakBefore w:val="0"/>
        <w:widowControl w:val="0"/>
        <w:kinsoku/>
        <w:wordWrap/>
        <w:overflowPunct/>
        <w:topLinePunct w:val="0"/>
        <w:autoSpaceDE/>
        <w:autoSpaceDN/>
        <w:bidi w:val="0"/>
        <w:adjustRightInd/>
        <w:snapToGrid/>
        <w:spacing w:line="600" w:lineRule="exact"/>
        <w:ind w:firstLine="1800" w:firstLineChars="600"/>
        <w:textAlignment w:val="auto"/>
        <w:outlineLvl w:val="9"/>
        <w:rPr>
          <w:rFonts w:hint="eastAsia" w:ascii="仿宋" w:hAnsi="仿宋" w:eastAsia="仿宋" w:cs="仿宋"/>
          <w:sz w:val="30"/>
          <w:szCs w:val="30"/>
        </w:rPr>
      </w:pPr>
      <w:r>
        <w:rPr>
          <w:rFonts w:hint="eastAsia" w:ascii="仿宋" w:hAnsi="仿宋" w:eastAsia="仿宋" w:cs="仿宋"/>
          <w:sz w:val="30"/>
          <w:szCs w:val="30"/>
        </w:rPr>
        <w:t>第四部分  名词解释</w:t>
      </w:r>
    </w:p>
    <w:p w14:paraId="66AF088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（一）基本支出：指为保障机构正常运转、完成日常</w:t>
      </w:r>
    </w:p>
    <w:p w14:paraId="01885049">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工作任务而发生的人员支出和公用支出。</w:t>
      </w:r>
    </w:p>
    <w:p w14:paraId="04C60AC0">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（二）项目支出：指在基本支出之外为完成特定行政任</w:t>
      </w:r>
    </w:p>
    <w:p w14:paraId="4F3DBB2E">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务和事业发展目标所发生的支出。</w:t>
      </w:r>
    </w:p>
    <w:p w14:paraId="3DD6254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三）“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2F009E1F">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 w:hAnsi="仿宋" w:eastAsia="仿宋" w:cs="仿宋"/>
          <w:sz w:val="30"/>
          <w:szCs w:val="30"/>
        </w:rPr>
      </w:pPr>
      <w:r>
        <w:rPr>
          <w:rFonts w:hint="eastAsia" w:ascii="仿宋" w:hAnsi="仿宋" w:eastAsia="仿宋" w:cs="仿宋"/>
          <w:sz w:val="30"/>
          <w:szCs w:val="30"/>
        </w:rPr>
        <w:t>（四）机关运行经费：指行政单位和参照公务员法管理的事业单位使用一般公共预算安排的基本支出中的日常公用经费支出。</w:t>
      </w:r>
    </w:p>
    <w:p w14:paraId="0FB45556">
      <w:pPr>
        <w:rPr>
          <w:rFonts w:hint="eastAsia" w:ascii="仿宋" w:hAnsi="仿宋" w:eastAsia="仿宋" w:cs="仿宋"/>
          <w:sz w:val="30"/>
          <w:szCs w:val="30"/>
        </w:rPr>
      </w:pP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ED8E6">
    <w:pPr>
      <w:pStyle w:val="2"/>
      <w:framePr w:w="1904" w:h="376" w:hRule="exact" w:wrap="around" w:vAnchor="text" w:hAnchor="page" w:x="8518" w:y="11"/>
      <w:ind w:firstLine="560" w:firstLineChars="2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w:t>
    </w:r>
    <w:r>
      <w:rPr>
        <w:rFonts w:ascii="宋体" w:hAnsi="宋体"/>
        <w:sz w:val="28"/>
        <w:szCs w:val="28"/>
      </w:rPr>
      <w:fldChar w:fldCharType="end"/>
    </w:r>
    <w:r>
      <w:rPr>
        <w:rStyle w:val="7"/>
        <w:rFonts w:hint="eastAsia" w:ascii="宋体" w:hAnsi="宋体"/>
        <w:sz w:val="28"/>
        <w:szCs w:val="28"/>
      </w:rPr>
      <w:t xml:space="preserve"> —</w:t>
    </w:r>
  </w:p>
  <w:p w14:paraId="6428A6CD">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EAC84">
    <w:pPr>
      <w:pStyle w:val="2"/>
      <w:framePr w:w="2000" w:h="790" w:hRule="exact" w:wrap="around" w:vAnchor="text" w:hAnchor="page" w:x="1370"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18</w:t>
    </w:r>
    <w:r>
      <w:rPr>
        <w:rFonts w:ascii="宋体" w:hAnsi="宋体"/>
        <w:sz w:val="28"/>
        <w:szCs w:val="28"/>
      </w:rPr>
      <w:fldChar w:fldCharType="end"/>
    </w:r>
    <w:r>
      <w:rPr>
        <w:rStyle w:val="7"/>
        <w:rFonts w:hint="eastAsia" w:ascii="宋体" w:hAnsi="宋体"/>
        <w:sz w:val="28"/>
        <w:szCs w:val="28"/>
      </w:rPr>
      <w:t xml:space="preserve"> —</w:t>
    </w:r>
  </w:p>
  <w:p w14:paraId="30990F12">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721C3">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448BC8"/>
    <w:multiLevelType w:val="singleLevel"/>
    <w:tmpl w:val="56448BC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Mjg3ZmMzMGU1YzVkMTFiMGU3Mzc0MmE1Mjc1MDYifQ=="/>
  </w:docVars>
  <w:rsids>
    <w:rsidRoot w:val="00000000"/>
    <w:rsid w:val="0974661D"/>
    <w:rsid w:val="0E0A19CE"/>
    <w:rsid w:val="22B2517C"/>
    <w:rsid w:val="247D650D"/>
    <w:rsid w:val="30C12372"/>
    <w:rsid w:val="37135A86"/>
    <w:rsid w:val="3C8D1621"/>
    <w:rsid w:val="42C51DF0"/>
    <w:rsid w:val="4A555B36"/>
    <w:rsid w:val="4FFE3338"/>
    <w:rsid w:val="567A244B"/>
    <w:rsid w:val="59F224D5"/>
    <w:rsid w:val="7F641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qFormat/>
    <w:uiPriority w:val="0"/>
    <w:rPr>
      <w:rFonts w:ascii="Times New Roman" w:hAnsi="Times New Roman"/>
      <w:szCs w:val="24"/>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Char Char Char Char Char Char"/>
    <w:basedOn w:val="1"/>
    <w:link w:val="5"/>
    <w:qFormat/>
    <w:uiPriority w:val="0"/>
    <w:rPr>
      <w:rFonts w:ascii="Times New Roman" w:hAnsi="Times New Roman"/>
      <w:szCs w:val="24"/>
    </w:rPr>
  </w:style>
  <w:style w:type="character" w:styleId="7">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1392</Words>
  <Characters>1509</Characters>
  <Lines>0</Lines>
  <Paragraphs>0</Paragraphs>
  <TotalTime>1</TotalTime>
  <ScaleCrop>false</ScaleCrop>
  <LinksUpToDate>false</LinksUpToDate>
  <CharactersWithSpaces>1517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易巧</cp:lastModifiedBy>
  <dcterms:modified xsi:type="dcterms:W3CDTF">2025-04-15T09:29:23Z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FFB121DC9553425C8C5223CE51DAA034_12</vt:lpwstr>
  </property>
  <property fmtid="{D5CDD505-2E9C-101B-9397-08002B2CF9AE}" pid="4" name="KSOTemplateDocerSaveRecord">
    <vt:lpwstr>eyJoZGlkIjoiOTA1Mjg3ZmMzMGU1YzVkMTFiMGU3Mzc0MmE1Mjc1MDYiLCJ1c2VySWQiOiI5NzU5Mjk5MzMifQ==</vt:lpwstr>
  </property>
</Properties>
</file>