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hint="eastAsia" w:ascii="黑体" w:hAnsi="宋体" w:eastAsia="黑体" w:cs="宋体"/>
          <w:kern w:val="0"/>
          <w:sz w:val="32"/>
          <w:szCs w:val="32"/>
        </w:rPr>
      </w:pPr>
      <w:r>
        <w:rPr>
          <w:rFonts w:hint="eastAsia" w:ascii="黑体" w:hAnsi="宋体" w:eastAsia="黑体" w:cs="宋体"/>
          <w:kern w:val="0"/>
          <w:sz w:val="32"/>
          <w:szCs w:val="32"/>
        </w:rPr>
        <w:t>附件1</w:t>
      </w:r>
    </w:p>
    <w:p>
      <w:pPr>
        <w:widowControl/>
        <w:jc w:val="center"/>
        <w:rPr>
          <w:rFonts w:hint="eastAsia" w:ascii="方正小标宋简体" w:hAnsi="华文中宋" w:eastAsia="方正小标宋简体"/>
          <w:kern w:val="0"/>
          <w:sz w:val="44"/>
          <w:szCs w:val="44"/>
        </w:rPr>
      </w:pPr>
      <w:r>
        <w:rPr>
          <w:rFonts w:hint="eastAsia" w:ascii="方正小标宋简体" w:hAnsi="宋体" w:eastAsia="方正小标宋简体" w:cs="宋体"/>
          <w:kern w:val="0"/>
          <w:sz w:val="44"/>
          <w:szCs w:val="44"/>
          <w:lang w:eastAsia="zh-CN"/>
        </w:rPr>
        <w:t>浮山县</w:t>
      </w:r>
      <w:r>
        <w:rPr>
          <w:rFonts w:hint="eastAsia" w:ascii="方正小标宋简体" w:hAnsi="华文中宋" w:eastAsia="方正小标宋简体"/>
          <w:kern w:val="0"/>
          <w:sz w:val="44"/>
          <w:szCs w:val="44"/>
          <w:lang w:eastAsia="zh-CN"/>
        </w:rPr>
        <w:t>编办</w:t>
      </w: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numPr>
          <w:ilvl w:val="0"/>
          <w:numId w:val="0"/>
        </w:numPr>
        <w:spacing w:line="360" w:lineRule="auto"/>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 xml:space="preserve">    </w:t>
      </w:r>
    </w:p>
    <w:p>
      <w:pPr>
        <w:numPr>
          <w:ilvl w:val="0"/>
          <w:numId w:val="0"/>
        </w:numPr>
        <w:spacing w:line="360" w:lineRule="auto"/>
        <w:rPr>
          <w:rFonts w:hint="eastAsia" w:ascii="仿宋_GB2312" w:hAnsi="楷体" w:eastAsia="仿宋_GB2312"/>
          <w:kern w:val="0"/>
          <w:sz w:val="32"/>
          <w:szCs w:val="32"/>
        </w:rPr>
      </w:pPr>
      <w:r>
        <w:rPr>
          <w:rFonts w:hint="eastAsia" w:ascii="仿宋_GB2312" w:hAnsi="楷体" w:eastAsia="仿宋_GB2312"/>
          <w:kern w:val="0"/>
          <w:sz w:val="32"/>
          <w:szCs w:val="32"/>
          <w:lang w:val="en-US" w:eastAsia="zh-CN"/>
        </w:rPr>
        <w:t xml:space="preserve">    </w:t>
      </w:r>
      <w:r>
        <w:rPr>
          <w:rFonts w:hint="eastAsia" w:ascii="仿宋_GB2312" w:hAnsi="楷体" w:eastAsia="仿宋_GB2312"/>
          <w:kern w:val="0"/>
          <w:sz w:val="32"/>
          <w:szCs w:val="32"/>
          <w:lang w:eastAsia="zh-CN"/>
        </w:rPr>
        <w:t>一、</w:t>
      </w:r>
      <w:r>
        <w:rPr>
          <w:rFonts w:hint="eastAsia" w:ascii="仿宋_GB2312" w:hAnsi="楷体" w:eastAsia="仿宋_GB2312"/>
          <w:kern w:val="0"/>
          <w:sz w:val="32"/>
          <w:szCs w:val="32"/>
        </w:rPr>
        <w:t>本部门职责</w:t>
      </w:r>
    </w:p>
    <w:p>
      <w:pPr>
        <w:numPr>
          <w:ilvl w:val="0"/>
          <w:numId w:val="0"/>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贯彻执行党中央、国务院、省委、省市有关行政管理体制和机构改革以及机构编制管理的政策和法律法规；研究拟定全县行政、事业单位管理体制与机构改革总体方案和具体实施意见；核定全县党政机关、人大、政协、法院、检察院、各民主党派、人民团体机关（以下简称党政群机关）及事业单位的机构设置、职能配置、内设机构、人员编制和领导职数；负责全县事业单位登记管理工作；对全县各级机关、事业单位的机构编制和机构改革方案的执行情况进行监督检查；以制度化、规范化、法制化的管理办法对全县党政群机关和事业单位的机构编制进行科学管理，构建权责一致、分工合理、决策科学、执行顺畅、监督有力的行政管理体制。</w:t>
      </w:r>
    </w:p>
    <w:p>
      <w:pPr>
        <w:numPr>
          <w:ilvl w:val="0"/>
          <w:numId w:val="0"/>
        </w:numPr>
        <w:spacing w:line="560" w:lineRule="exact"/>
        <w:rPr>
          <w:rFonts w:hint="eastAsia" w:ascii="仿宋_GB2312" w:eastAsia="仿宋_GB2312"/>
          <w:sz w:val="32"/>
          <w:szCs w:val="32"/>
        </w:rPr>
      </w:pPr>
      <w:r>
        <w:rPr>
          <w:rFonts w:hint="eastAsia" w:ascii="仿宋_GB2312" w:hAnsi="楷体" w:eastAsia="仿宋_GB2312"/>
          <w:kern w:val="0"/>
          <w:sz w:val="32"/>
          <w:szCs w:val="32"/>
          <w:lang w:val="en-US" w:eastAsia="zh-CN"/>
        </w:rPr>
        <w:t xml:space="preserve">    </w:t>
      </w:r>
      <w:r>
        <w:rPr>
          <w:rFonts w:hint="eastAsia" w:ascii="仿宋_GB2312" w:hAnsi="楷体" w:eastAsia="仿宋_GB2312"/>
          <w:kern w:val="0"/>
          <w:sz w:val="32"/>
          <w:szCs w:val="32"/>
          <w:lang w:eastAsia="zh-CN"/>
        </w:rPr>
        <w:t>二、</w:t>
      </w:r>
      <w:r>
        <w:rPr>
          <w:rFonts w:hint="eastAsia" w:ascii="仿宋_GB2312" w:hAnsi="楷体" w:eastAsia="仿宋_GB2312"/>
          <w:kern w:val="0"/>
          <w:sz w:val="32"/>
          <w:szCs w:val="32"/>
        </w:rPr>
        <w:t>机构设置情况</w:t>
      </w:r>
      <w:r>
        <w:rPr>
          <w:rFonts w:hint="eastAsia" w:ascii="仿宋_GB2312" w:eastAsia="仿宋_GB2312"/>
          <w:sz w:val="32"/>
          <w:szCs w:val="32"/>
        </w:rPr>
        <w:t xml:space="preserve"> </w:t>
      </w:r>
    </w:p>
    <w:p>
      <w:pPr>
        <w:numPr>
          <w:ilvl w:val="0"/>
          <w:numId w:val="0"/>
        </w:num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浮山县机构编制委员会办公室，为县机构编制委员会的日常办事机构，于2002年1月独立设置，正科级建制，核定行政编制3名，工勤编制1名，现有在职工作人员4名。下设浮山县事业单位登记管理局</w:t>
      </w:r>
      <w:r>
        <w:rPr>
          <w:rFonts w:hint="eastAsia" w:ascii="仿宋_GB2312" w:hAnsi="仿宋_GB2312" w:eastAsia="仿宋_GB2312" w:cs="仿宋_GB2312"/>
          <w:sz w:val="32"/>
          <w:szCs w:val="32"/>
          <w:lang w:eastAsia="zh-CN"/>
        </w:rPr>
        <w:t>和浮山县机构编制电子政务中心</w:t>
      </w:r>
      <w:r>
        <w:rPr>
          <w:rFonts w:hint="eastAsia" w:ascii="仿宋_GB2312" w:hAnsi="仿宋_GB2312" w:eastAsia="仿宋_GB2312" w:cs="仿宋_GB2312"/>
          <w:sz w:val="32"/>
          <w:szCs w:val="32"/>
        </w:rPr>
        <w:t>，为全额预算事业单位，核定全额拨款事业编制</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名，现有在职工作人员</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名。</w:t>
      </w:r>
    </w:p>
    <w:p>
      <w:pPr>
        <w:jc w:val="left"/>
        <w:rPr>
          <w:rFonts w:hint="eastAsia" w:ascii="仿宋_GB2312" w:hAnsi="黑体" w:eastAsia="仿宋_GB2312" w:cs="黑体"/>
          <w:sz w:val="32"/>
          <w:szCs w:val="32"/>
        </w:rPr>
      </w:pPr>
      <w:r>
        <w:rPr>
          <w:rFonts w:hint="eastAsia" w:ascii="仿宋_GB2312" w:hAnsi="黑体" w:eastAsia="仿宋_GB2312" w:cs="黑体"/>
          <w:sz w:val="32"/>
          <w:szCs w:val="32"/>
        </w:rPr>
        <w:t xml:space="preserve">    </w:t>
      </w:r>
    </w:p>
    <w:p>
      <w:pPr>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rPr>
          <w:rFonts w:hint="eastAsia" w:ascii="仿宋_GB2312" w:hAnsi="楷体" w:eastAsia="仿宋_GB2312"/>
          <w:kern w:val="0"/>
          <w:sz w:val="32"/>
          <w:szCs w:val="32"/>
        </w:rPr>
      </w:pPr>
      <w:r>
        <w:rPr>
          <w:rFonts w:hint="eastAsia" w:ascii="仿宋_GB2312" w:hAnsi="楷体" w:eastAsia="仿宋_GB2312"/>
          <w:kern w:val="0"/>
          <w:sz w:val="32"/>
          <w:szCs w:val="32"/>
          <w:lang w:val="en-US" w:eastAsia="zh-CN"/>
        </w:rPr>
        <w:t xml:space="preserve">    </w:t>
      </w: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浮山县编办</w:t>
      </w:r>
      <w:r>
        <w:rPr>
          <w:rFonts w:hint="eastAsia" w:ascii="仿宋_GB2312" w:hAnsi="楷体" w:eastAsia="仿宋_GB2312"/>
          <w:kern w:val="0"/>
          <w:sz w:val="32"/>
          <w:szCs w:val="32"/>
        </w:rPr>
        <w:t>2018年预算收支总表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浮山县编办</w:t>
      </w:r>
      <w:r>
        <w:rPr>
          <w:rFonts w:hint="eastAsia" w:ascii="仿宋_GB2312" w:hAnsi="楷体" w:eastAsia="仿宋_GB2312"/>
          <w:kern w:val="0"/>
          <w:sz w:val="32"/>
          <w:szCs w:val="32"/>
        </w:rPr>
        <w:t>2018年预算收入总表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浮山县编办</w:t>
      </w:r>
      <w:r>
        <w:rPr>
          <w:rFonts w:hint="eastAsia" w:ascii="仿宋_GB2312" w:hAnsi="楷体" w:eastAsia="仿宋_GB2312"/>
          <w:kern w:val="0"/>
          <w:sz w:val="32"/>
          <w:szCs w:val="32"/>
        </w:rPr>
        <w:t>2018年预算支出总表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浮山县编办</w:t>
      </w:r>
      <w:r>
        <w:rPr>
          <w:rFonts w:hint="eastAsia" w:ascii="仿宋_GB2312" w:hAnsi="楷体" w:eastAsia="仿宋_GB2312"/>
          <w:kern w:val="0"/>
          <w:sz w:val="32"/>
          <w:szCs w:val="32"/>
        </w:rPr>
        <w:t>2018年财政拨款收支总表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浮山县编办</w:t>
      </w:r>
      <w:r>
        <w:rPr>
          <w:rFonts w:hint="eastAsia" w:ascii="仿宋_GB2312" w:hAnsi="楷体" w:eastAsia="仿宋_GB2312"/>
          <w:kern w:val="0"/>
          <w:sz w:val="32"/>
          <w:szCs w:val="32"/>
        </w:rPr>
        <w:t>2018年一般公共预算支出预算表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浮山县编办</w:t>
      </w:r>
      <w:r>
        <w:rPr>
          <w:rFonts w:hint="eastAsia" w:ascii="仿宋_GB2312" w:hAnsi="楷体" w:eastAsia="仿宋_GB2312"/>
          <w:kern w:val="0"/>
          <w:sz w:val="32"/>
          <w:szCs w:val="32"/>
        </w:rPr>
        <w:t>2018年一般公共预算安排基本支出分经济科目表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浮山县编办</w:t>
      </w:r>
      <w:r>
        <w:rPr>
          <w:rFonts w:hint="eastAsia" w:ascii="仿宋_GB2312" w:hAnsi="楷体" w:eastAsia="仿宋_GB2312"/>
          <w:kern w:val="0"/>
          <w:sz w:val="32"/>
          <w:szCs w:val="32"/>
        </w:rPr>
        <w:t>2018年政府性基金预算收入预算表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浮山县编办</w:t>
      </w:r>
      <w:r>
        <w:rPr>
          <w:rFonts w:hint="eastAsia" w:ascii="仿宋_GB2312" w:hAnsi="楷体" w:eastAsia="仿宋_GB2312"/>
          <w:kern w:val="0"/>
          <w:sz w:val="32"/>
          <w:szCs w:val="32"/>
        </w:rPr>
        <w:t>2018年政府性基金预算支出预算表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浮山县编办</w:t>
      </w:r>
      <w:r>
        <w:rPr>
          <w:rFonts w:hint="eastAsia" w:ascii="仿宋_GB2312" w:hAnsi="楷体" w:eastAsia="仿宋_GB2312"/>
          <w:kern w:val="0"/>
          <w:sz w:val="32"/>
          <w:szCs w:val="32"/>
        </w:rPr>
        <w:t>2018年“三公”经费预算财政拨款情况统计表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浮山县编办</w:t>
      </w:r>
      <w:r>
        <w:rPr>
          <w:rFonts w:hint="eastAsia" w:ascii="仿宋_GB2312" w:hAnsi="楷体" w:eastAsia="仿宋_GB2312"/>
          <w:kern w:val="0"/>
          <w:sz w:val="32"/>
          <w:szCs w:val="32"/>
        </w:rPr>
        <w:t>2018年机关运行经费预算财政拨款情况统计表</w:t>
      </w:r>
    </w:p>
    <w:p>
      <w:pPr>
        <w:widowControl/>
        <w:spacing w:line="560" w:lineRule="exact"/>
        <w:jc w:val="center"/>
        <w:rPr>
          <w:rFonts w:hint="eastAsia" w:ascii="黑体" w:hAnsi="Times New Roman" w:eastAsia="黑体"/>
          <w:kern w:val="0"/>
          <w:sz w:val="32"/>
          <w:szCs w:val="32"/>
        </w:rPr>
      </w:pP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widowControl/>
        <w:spacing w:line="560" w:lineRule="exact"/>
        <w:ind w:firstLine="636"/>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2018年部门预算支出107.40万元。其中：基本支出107.40万元，分别为人员支出104.50万元，日常公用支出2.9万元，比2017年部门预算支出72.50万元增加了34.9万元，原因是人员支出增加，日常公用支出无变化。</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本部门无“三公”经费。</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eastAsia="zh-CN"/>
        </w:rPr>
        <w:t>本</w:t>
      </w:r>
      <w:r>
        <w:rPr>
          <w:rFonts w:hint="eastAsia" w:ascii="仿宋_GB2312" w:hAnsi="仿宋" w:eastAsia="仿宋_GB2312"/>
          <w:kern w:val="0"/>
          <w:sz w:val="32"/>
          <w:szCs w:val="32"/>
        </w:rPr>
        <w:t>部门2018年机关运行经费财政拨款预算</w:t>
      </w:r>
      <w:r>
        <w:rPr>
          <w:rFonts w:hint="eastAsia" w:ascii="仿宋_GB2312" w:hAnsi="仿宋" w:eastAsia="仿宋_GB2312"/>
          <w:kern w:val="0"/>
          <w:sz w:val="32"/>
          <w:szCs w:val="32"/>
          <w:lang w:val="en-US" w:eastAsia="zh-CN"/>
        </w:rPr>
        <w:t>无增减变化。</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本部门没有政府采购情况。</w:t>
      </w:r>
    </w:p>
    <w:p>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本</w:t>
      </w:r>
      <w:r>
        <w:rPr>
          <w:rFonts w:hint="eastAsia" w:ascii="仿宋_GB2312" w:hAnsi="仿宋" w:eastAsia="仿宋_GB2312"/>
          <w:kern w:val="0"/>
          <w:sz w:val="32"/>
          <w:szCs w:val="32"/>
        </w:rPr>
        <w:t>部门实行绩效目标管理的项目</w:t>
      </w:r>
      <w:r>
        <w:rPr>
          <w:rFonts w:hint="eastAsia" w:ascii="仿宋_GB2312" w:hAnsi="仿宋" w:eastAsia="仿宋_GB2312"/>
          <w:kern w:val="0"/>
          <w:sz w:val="32"/>
          <w:szCs w:val="32"/>
          <w:lang w:val="en-US" w:eastAsia="zh-CN"/>
        </w:rPr>
        <w:t>0</w:t>
      </w:r>
      <w:r>
        <w:rPr>
          <w:rFonts w:hint="eastAsia" w:ascii="仿宋_GB2312" w:hAnsi="仿宋" w:eastAsia="仿宋_GB2312"/>
          <w:kern w:val="0"/>
          <w:sz w:val="32"/>
          <w:szCs w:val="32"/>
        </w:rPr>
        <w:t>个。</w:t>
      </w:r>
    </w:p>
    <w:p>
      <w:pPr>
        <w:widowControl/>
        <w:numPr>
          <w:ilvl w:val="0"/>
          <w:numId w:val="1"/>
        </w:numPr>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其他说明</w:t>
      </w:r>
    </w:p>
    <w:p>
      <w:pPr>
        <w:widowControl/>
        <w:numPr>
          <w:ilvl w:val="0"/>
          <w:numId w:val="0"/>
        </w:numPr>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lang w:val="en-US" w:eastAsia="zh-CN"/>
        </w:rPr>
        <w:t xml:space="preserve">   </w:t>
      </w: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一</w:t>
      </w:r>
      <w:r>
        <w:rPr>
          <w:rFonts w:hint="eastAsia" w:ascii="仿宋_GB2312" w:hAnsi="仿宋" w:eastAsia="仿宋_GB2312"/>
          <w:kern w:val="0"/>
          <w:sz w:val="32"/>
          <w:szCs w:val="32"/>
        </w:rPr>
        <w:t>）国有资产占有使用情况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1.车辆情况</w:t>
      </w:r>
      <w:r>
        <w:rPr>
          <w:rFonts w:hint="eastAsia" w:ascii="仿宋_GB2312" w:hAnsi="仿宋" w:eastAsia="仿宋_GB2312"/>
          <w:kern w:val="0"/>
          <w:sz w:val="32"/>
          <w:szCs w:val="32"/>
          <w:lang w:eastAsia="zh-CN"/>
        </w:rPr>
        <w:t>：无</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2.房屋情况</w:t>
      </w:r>
      <w:r>
        <w:rPr>
          <w:rFonts w:hint="eastAsia" w:ascii="仿宋_GB2312" w:hAnsi="仿宋" w:eastAsia="仿宋_GB2312"/>
          <w:kern w:val="0"/>
          <w:sz w:val="32"/>
          <w:szCs w:val="32"/>
          <w:lang w:eastAsia="zh-CN"/>
        </w:rPr>
        <w:t>：无</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3.其他国有资产占有使用情况</w:t>
      </w:r>
      <w:r>
        <w:rPr>
          <w:rFonts w:hint="eastAsia" w:ascii="仿宋_GB2312" w:hAnsi="仿宋" w:eastAsia="仿宋_GB2312"/>
          <w:kern w:val="0"/>
          <w:sz w:val="32"/>
          <w:szCs w:val="32"/>
          <w:lang w:eastAsia="zh-CN"/>
        </w:rPr>
        <w:t>：无</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二</w:t>
      </w:r>
      <w:r>
        <w:rPr>
          <w:rFonts w:hint="eastAsia" w:ascii="仿宋_GB2312" w:hAnsi="仿宋" w:eastAsia="仿宋_GB2312"/>
          <w:kern w:val="0"/>
          <w:sz w:val="32"/>
          <w:szCs w:val="32"/>
        </w:rPr>
        <w:t>）其他</w:t>
      </w:r>
    </w:p>
    <w:p>
      <w:pPr>
        <w:widowControl/>
        <w:tabs>
          <w:tab w:val="left" w:pos="786"/>
        </w:tabs>
        <w:spacing w:line="560" w:lineRule="exact"/>
        <w:jc w:val="left"/>
        <w:rPr>
          <w:rFonts w:hint="eastAsia" w:ascii="仿宋_GB2312" w:hAnsi="仿宋_GB2312" w:eastAsia="仿宋_GB2312" w:cs="仿宋_GB2312"/>
          <w:kern w:val="0"/>
          <w:sz w:val="32"/>
          <w:szCs w:val="32"/>
          <w:lang w:eastAsia="zh-CN"/>
        </w:rPr>
      </w:pPr>
      <w:r>
        <w:rPr>
          <w:rFonts w:hint="eastAsia" w:ascii="黑体" w:hAnsi="Times New Roman" w:eastAsia="黑体"/>
          <w:kern w:val="0"/>
          <w:sz w:val="32"/>
          <w:szCs w:val="32"/>
          <w:lang w:eastAsia="zh-CN"/>
        </w:rPr>
        <w:tab/>
      </w:r>
      <w:r>
        <w:rPr>
          <w:rFonts w:hint="eastAsia" w:ascii="仿宋_GB2312" w:hAnsi="仿宋_GB2312" w:eastAsia="仿宋_GB2312" w:cs="仿宋_GB2312"/>
          <w:kern w:val="0"/>
          <w:sz w:val="32"/>
          <w:szCs w:val="32"/>
          <w:lang w:eastAsia="zh-CN"/>
        </w:rPr>
        <w:t>无其他说明</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hint="eastAsia" w:ascii="仿宋_GB2312" w:hAnsi="仿宋" w:eastAsia="仿宋_GB2312"/>
          <w:kern w:val="0"/>
          <w:sz w:val="32"/>
          <w:szCs w:val="32"/>
          <w:lang w:eastAsia="zh-CN"/>
        </w:r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pPr>
        <w:rPr>
          <w:rFonts w:hint="eastAsia" w:ascii="仿宋_GB2312" w:hAnsi="仿宋" w:eastAsia="仿宋_GB2312" w:cs="Times New Roman"/>
          <w:kern w:val="0"/>
          <w:sz w:val="32"/>
          <w:szCs w:val="32"/>
          <w:lang w:val="en-US" w:eastAsia="zh-CN" w:bidi="ar-SA"/>
        </w:rPr>
      </w:pPr>
    </w:p>
    <w:p>
      <w:pPr>
        <w:rPr>
          <w:rFonts w:hint="eastAsia" w:ascii="仿宋_GB2312" w:hAnsi="仿宋" w:eastAsia="仿宋_GB2312" w:cs="Times New Roman"/>
          <w:kern w:val="0"/>
          <w:sz w:val="32"/>
          <w:szCs w:val="32"/>
          <w:lang w:val="en-US" w:eastAsia="zh-CN" w:bidi="ar-SA"/>
        </w:rPr>
      </w:pPr>
    </w:p>
    <w:p>
      <w:pPr>
        <w:rPr>
          <w:rFonts w:hint="eastAsia" w:ascii="仿宋_GB2312" w:hAnsi="仿宋" w:eastAsia="仿宋_GB2312" w:cs="Times New Roman"/>
          <w:kern w:val="0"/>
          <w:sz w:val="32"/>
          <w:szCs w:val="32"/>
          <w:lang w:val="en-US" w:eastAsia="zh-CN" w:bidi="ar-SA"/>
        </w:rPr>
      </w:pPr>
    </w:p>
    <w:p>
      <w:pPr>
        <w:rPr>
          <w:rFonts w:hint="eastAsia" w:ascii="仿宋_GB2312" w:hAnsi="仿宋" w:eastAsia="仿宋_GB2312" w:cs="Times New Roman"/>
          <w:kern w:val="0"/>
          <w:sz w:val="32"/>
          <w:szCs w:val="32"/>
          <w:lang w:val="en-US" w:eastAsia="zh-CN" w:bidi="ar-SA"/>
        </w:rPr>
      </w:pPr>
    </w:p>
    <w:p>
      <w:pPr>
        <w:rPr>
          <w:rFonts w:hint="eastAsia" w:ascii="仿宋_GB2312" w:hAnsi="仿宋" w:eastAsia="仿宋_GB2312" w:cs="Times New Roman"/>
          <w:kern w:val="0"/>
          <w:sz w:val="32"/>
          <w:szCs w:val="32"/>
          <w:lang w:val="en-US" w:eastAsia="zh-CN" w:bidi="ar-SA"/>
        </w:rPr>
      </w:pPr>
    </w:p>
    <w:p>
      <w:pPr>
        <w:rPr>
          <w:rFonts w:hint="eastAsia" w:ascii="仿宋_GB2312" w:hAnsi="仿宋" w:eastAsia="仿宋_GB2312" w:cs="Times New Roman"/>
          <w:kern w:val="0"/>
          <w:sz w:val="32"/>
          <w:szCs w:val="32"/>
          <w:lang w:val="en-US" w:eastAsia="zh-CN" w:bidi="ar-SA"/>
        </w:rPr>
      </w:pPr>
    </w:p>
    <w:p>
      <w:pPr>
        <w:tabs>
          <w:tab w:val="left" w:pos="3402"/>
        </w:tabs>
        <w:jc w:val="left"/>
        <w:rPr>
          <w:rFonts w:hint="eastAsia"/>
          <w:lang w:val="en-US" w:eastAsia="zh-CN"/>
        </w:rPr>
      </w:pPr>
      <w:r>
        <w:rPr>
          <w:rFonts w:hint="eastAsia" w:ascii="仿宋_GB2312" w:hAnsi="仿宋" w:eastAsia="仿宋_GB2312" w:cs="Times New Roman"/>
          <w:kern w:val="0"/>
          <w:sz w:val="32"/>
          <w:szCs w:val="32"/>
          <w:lang w:val="en-US" w:eastAsia="zh-CN" w:bidi="ar-SA"/>
        </w:rPr>
        <w:tab/>
        <w:t xml:space="preserve">    </w:t>
      </w:r>
      <w:bookmarkStart w:id="0" w:name="_GoBack"/>
      <w:bookmarkEnd w:id="0"/>
      <w:r>
        <w:rPr>
          <w:rFonts w:hint="eastAsia" w:ascii="仿宋_GB2312" w:hAnsi="仿宋" w:eastAsia="仿宋_GB2312" w:cs="Times New Roman"/>
          <w:kern w:val="0"/>
          <w:sz w:val="32"/>
          <w:szCs w:val="32"/>
          <w:lang w:val="en-US" w:eastAsia="zh-CN" w:bidi="ar-SA"/>
        </w:rPr>
        <w:t>2018年5月21日</w:t>
      </w:r>
    </w:p>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Lucida Sans Unicode">
    <w:panose1 w:val="020B0602030504020204"/>
    <w:charset w:val="00"/>
    <w:family w:val="auto"/>
    <w:pitch w:val="default"/>
    <w:sig w:usb0="80001AFF" w:usb1="0000396B" w:usb2="00000000" w:usb3="00000000" w:csb0="200000BF" w:csb1="D7F7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22EA2"/>
    <w:multiLevelType w:val="singleLevel"/>
    <w:tmpl w:val="5B022EA2"/>
    <w:lvl w:ilvl="0" w:tentative="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357BB"/>
    <w:rsid w:val="0610228D"/>
    <w:rsid w:val="0E0A19CE"/>
    <w:rsid w:val="16C908FD"/>
    <w:rsid w:val="1B89433F"/>
    <w:rsid w:val="26AA4D0B"/>
    <w:rsid w:val="2C744653"/>
    <w:rsid w:val="51B916CE"/>
    <w:rsid w:val="69A52274"/>
    <w:rsid w:val="74B95406"/>
    <w:rsid w:val="774B53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qFormat/>
    <w:uiPriority w:val="0"/>
    <w:rPr>
      <w:rFonts w:ascii="Times New Roman" w:hAnsi="Times New Roman"/>
      <w:szCs w:val="24"/>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qFormat/>
    <w:uiPriority w:val="0"/>
    <w:rPr>
      <w:rFonts w:ascii="Times New Roman" w:hAnsi="Times New Roman"/>
      <w:szCs w:val="24"/>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2018-05-21T04:20:40Z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