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spacing w:line="600" w:lineRule="exact"/>
        <w:rPr>
          <w:rFonts w:hint="eastAsia" w:ascii="仿宋_GB2312" w:eastAsia="仿宋_GB2312"/>
          <w:sz w:val="32"/>
          <w:szCs w:val="32"/>
        </w:rPr>
      </w:pPr>
    </w:p>
    <w:p>
      <w:pPr>
        <w:pStyle w:val="36"/>
        <w:spacing w:line="600" w:lineRule="exact"/>
        <w:jc w:val="center"/>
        <w:rPr>
          <w:rFonts w:hint="eastAsia" w:ascii="黑体" w:eastAsia="黑体"/>
          <w:sz w:val="44"/>
          <w:szCs w:val="44"/>
        </w:rPr>
      </w:pPr>
      <w:r>
        <w:rPr>
          <w:rFonts w:hint="eastAsia" w:ascii="黑体" w:hAnsi="宋体" w:eastAsia="黑体" w:cs="宋体"/>
          <w:sz w:val="44"/>
          <w:szCs w:val="44"/>
        </w:rPr>
        <w:t>浮山县</w:t>
      </w:r>
      <w:r>
        <w:rPr>
          <w:rFonts w:hint="eastAsia" w:ascii="黑体" w:eastAsia="黑体"/>
          <w:sz w:val="44"/>
          <w:szCs w:val="44"/>
        </w:rPr>
        <w:t>残疾人联合会2018年度部</w:t>
      </w:r>
      <w:r>
        <w:rPr>
          <w:rFonts w:hint="eastAsia" w:ascii="黑体" w:hAnsi="宋体" w:eastAsia="黑体" w:cs="宋体"/>
          <w:sz w:val="44"/>
          <w:szCs w:val="44"/>
        </w:rPr>
        <w:t>门预</w:t>
      </w:r>
      <w:r>
        <w:rPr>
          <w:rFonts w:hint="eastAsia" w:ascii="黑体" w:hAnsi="Dotum" w:eastAsia="黑体" w:cs="Dotum"/>
          <w:sz w:val="44"/>
          <w:szCs w:val="44"/>
        </w:rPr>
        <w:t>算</w:t>
      </w:r>
    </w:p>
    <w:p>
      <w:pPr>
        <w:pStyle w:val="36"/>
        <w:spacing w:line="600" w:lineRule="exact"/>
        <w:rPr>
          <w:rFonts w:hint="eastAsia" w:ascii="仿宋_GB2312" w:eastAsia="仿宋_GB2312"/>
          <w:sz w:val="32"/>
          <w:szCs w:val="32"/>
        </w:rPr>
      </w:pPr>
    </w:p>
    <w:p>
      <w:pPr>
        <w:pStyle w:val="36"/>
        <w:spacing w:line="600" w:lineRule="exact"/>
        <w:jc w:val="center"/>
        <w:rPr>
          <w:rFonts w:hint="eastAsia" w:ascii="黑体" w:eastAsia="黑体"/>
          <w:sz w:val="32"/>
          <w:szCs w:val="32"/>
        </w:rPr>
      </w:pPr>
      <w:r>
        <w:rPr>
          <w:rFonts w:hint="eastAsia" w:ascii="黑体" w:eastAsia="黑体"/>
          <w:sz w:val="32"/>
          <w:szCs w:val="32"/>
        </w:rPr>
        <w:t>第一部分  概况</w:t>
      </w:r>
    </w:p>
    <w:p>
      <w:pPr>
        <w:pStyle w:val="36"/>
        <w:spacing w:line="600" w:lineRule="exact"/>
        <w:rPr>
          <w:rFonts w:hint="eastAsia" w:ascii="仿宋_GB2312" w:eastAsia="仿宋_GB2312"/>
          <w:sz w:val="32"/>
          <w:szCs w:val="32"/>
        </w:rPr>
      </w:pPr>
    </w:p>
    <w:p>
      <w:pPr>
        <w:pStyle w:val="36"/>
        <w:spacing w:line="600" w:lineRule="exact"/>
        <w:ind w:firstLine="640" w:firstLineChars="200"/>
        <w:rPr>
          <w:rFonts w:hint="eastAsia" w:ascii="黑体" w:eastAsia="黑体"/>
          <w:sz w:val="32"/>
          <w:szCs w:val="32"/>
        </w:rPr>
      </w:pPr>
      <w:r>
        <w:rPr>
          <w:rFonts w:hint="eastAsia" w:ascii="黑体" w:eastAsia="黑体"/>
          <w:sz w:val="32"/>
          <w:szCs w:val="32"/>
        </w:rPr>
        <w:t>一、本部门职责</w:t>
      </w:r>
    </w:p>
    <w:p>
      <w:pPr>
        <w:pStyle w:val="36"/>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浮山县残联是全县残疾人代表组织和主管残疾人工作的直属正科级组织，业务上接受上级残联和县政府有关部门的对口指导。其主要职责是：</w:t>
      </w:r>
    </w:p>
    <w:p>
      <w:pPr>
        <w:pStyle w:val="36"/>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1、准确调查、掌握残疾人的状况和需求，建档立卡 ；</w:t>
      </w:r>
    </w:p>
    <w:p>
      <w:pPr>
        <w:pStyle w:val="36"/>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 xml:space="preserve">2、核发《中华人民共和国第二代残疾人证》； </w:t>
      </w:r>
    </w:p>
    <w:p>
      <w:pPr>
        <w:pStyle w:val="36"/>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3、对困难残疾人给予生产或生活救助，排忧解难；</w:t>
      </w:r>
    </w:p>
    <w:p>
      <w:pPr>
        <w:pStyle w:val="36"/>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4、宣传、贯彻残疾人保障法和有关残疾人事业的法规，维护残疾人的合法权益；</w:t>
      </w:r>
    </w:p>
    <w:p>
      <w:pPr>
        <w:pStyle w:val="36"/>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5、团结教育残疾人，遵守法律，履行义务，发扬乐观进取精神，自尊、自信、自强、自立；</w:t>
      </w:r>
    </w:p>
    <w:p>
      <w:pPr>
        <w:pStyle w:val="36"/>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6、宣传残疾人事业，沟通政府与残疾人的联系，动员社会理解、尊重、关心、帮助残疾人；</w:t>
      </w:r>
    </w:p>
    <w:p>
      <w:pPr>
        <w:pStyle w:val="36"/>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7、协助政府研究、制定、实施残疾人事业的法规、政策和计划，发展和管理残疾人事业；</w:t>
      </w:r>
    </w:p>
    <w:p>
      <w:pPr>
        <w:pStyle w:val="36"/>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8、开展残疾人康复、教育、劳动就业、社会保障、文化、教育等工作，促进残疾人“平等、参与、共享”；</w:t>
      </w:r>
    </w:p>
    <w:p>
      <w:pPr>
        <w:pStyle w:val="36"/>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9、指导各乡镇残联的业务工作，管理各类残疾人社团组织。</w:t>
      </w:r>
    </w:p>
    <w:p>
      <w:pPr>
        <w:pStyle w:val="36"/>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10、承办县委、县政府和上级残联交办的其他工作。</w:t>
      </w:r>
    </w:p>
    <w:p>
      <w:pPr>
        <w:pStyle w:val="36"/>
        <w:spacing w:line="600" w:lineRule="exact"/>
        <w:ind w:firstLine="640" w:firstLineChars="200"/>
        <w:rPr>
          <w:rFonts w:hint="eastAsia" w:ascii="黑体" w:eastAsia="黑体"/>
          <w:sz w:val="32"/>
          <w:szCs w:val="32"/>
          <w:lang w:eastAsia="zh-CN"/>
        </w:rPr>
      </w:pPr>
      <w:r>
        <w:rPr>
          <w:rFonts w:hint="eastAsia" w:ascii="黑体" w:eastAsia="黑体"/>
          <w:sz w:val="32"/>
          <w:szCs w:val="32"/>
        </w:rPr>
        <w:t>二、机构设置情况</w:t>
      </w:r>
    </w:p>
    <w:p>
      <w:pPr>
        <w:pStyle w:val="36"/>
        <w:spacing w:line="600" w:lineRule="exact"/>
        <w:ind w:firstLine="640" w:firstLineChars="200"/>
        <w:rPr>
          <w:rFonts w:hint="eastAsia" w:ascii="黑体" w:eastAsia="黑体"/>
          <w:sz w:val="32"/>
          <w:szCs w:val="32"/>
        </w:rPr>
      </w:pPr>
      <w:r>
        <w:rPr>
          <w:rFonts w:hint="eastAsia" w:ascii="仿宋_GB2312" w:eastAsia="仿宋_GB2312"/>
          <w:sz w:val="32"/>
          <w:szCs w:val="32"/>
          <w:lang w:eastAsia="zh-CN"/>
        </w:rPr>
        <w:t>1990年3月8日，浮编发【1990】1号文件正式批准设立浮山县残联，机构为事业团体，规格正局级。</w:t>
      </w:r>
      <w:r>
        <w:rPr>
          <w:rFonts w:hint="eastAsia" w:ascii="仿宋_GB2312" w:eastAsia="仿宋_GB2312"/>
          <w:sz w:val="32"/>
          <w:szCs w:val="32"/>
        </w:rPr>
        <w:t>内设有办公室、组宣股、康复股、维权股、残疾人劳动服务所等4个股室1个站所。现有在职人员15人（其中正科1人，副科1人），退休6人。</w:t>
      </w:r>
    </w:p>
    <w:p>
      <w:pPr>
        <w:pStyle w:val="36"/>
        <w:spacing w:line="600" w:lineRule="exact"/>
        <w:rPr>
          <w:rFonts w:hint="eastAsia" w:ascii="仿宋_GB2312" w:eastAsia="仿宋_GB2312"/>
          <w:sz w:val="32"/>
          <w:szCs w:val="32"/>
        </w:rPr>
      </w:pPr>
    </w:p>
    <w:p>
      <w:pPr>
        <w:pStyle w:val="36"/>
        <w:spacing w:line="600" w:lineRule="exact"/>
        <w:jc w:val="center"/>
        <w:rPr>
          <w:rFonts w:hint="eastAsia" w:ascii="黑体" w:eastAsia="黑体"/>
          <w:sz w:val="32"/>
          <w:szCs w:val="32"/>
          <w:lang w:eastAsia="zh-CN"/>
        </w:rPr>
      </w:pPr>
      <w:r>
        <w:rPr>
          <w:rFonts w:hint="eastAsia" w:ascii="黑体" w:eastAsia="黑体"/>
          <w:sz w:val="32"/>
          <w:szCs w:val="32"/>
          <w:lang w:eastAsia="zh-CN"/>
        </w:rPr>
        <w:t>第二部分  2018年度部门预算报表</w:t>
      </w:r>
    </w:p>
    <w:p>
      <w:pPr>
        <w:pStyle w:val="36"/>
        <w:spacing w:line="600" w:lineRule="exact"/>
        <w:rPr>
          <w:rFonts w:hint="eastAsia" w:ascii="黑体" w:eastAsia="黑体"/>
          <w:sz w:val="32"/>
          <w:szCs w:val="32"/>
          <w:lang w:eastAsia="zh-CN"/>
        </w:rPr>
      </w:pPr>
    </w:p>
    <w:p>
      <w:pPr>
        <w:pStyle w:val="36"/>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一、浮山县残联2018年预算收支总表</w:t>
      </w:r>
    </w:p>
    <w:p>
      <w:pPr>
        <w:pStyle w:val="36"/>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二、浮山县残联2018年预算收入总表</w:t>
      </w:r>
    </w:p>
    <w:p>
      <w:pPr>
        <w:pStyle w:val="36"/>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三、浮山县残联2018年预算支出总表</w:t>
      </w:r>
    </w:p>
    <w:p>
      <w:pPr>
        <w:pStyle w:val="36"/>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四、浮山县残联2018年财政拨款收支总表</w:t>
      </w:r>
    </w:p>
    <w:p>
      <w:pPr>
        <w:pStyle w:val="36"/>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五、浮山县残联2018年一般公共预算支出预算表</w:t>
      </w:r>
    </w:p>
    <w:p>
      <w:pPr>
        <w:pStyle w:val="36"/>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六、浮山县残联2018年一般公共预算安排基本支出分经济科目表</w:t>
      </w:r>
    </w:p>
    <w:p>
      <w:pPr>
        <w:pStyle w:val="36"/>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七、浮山县残联2018年政府性基金预算收入预算表</w:t>
      </w:r>
    </w:p>
    <w:p>
      <w:pPr>
        <w:pStyle w:val="36"/>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八、浮山县残联2018年政府性基金预算支出预算表</w:t>
      </w:r>
    </w:p>
    <w:p>
      <w:pPr>
        <w:pStyle w:val="36"/>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九、浮山县残联2018年“三公”经费预算财政拨款情况统计表</w:t>
      </w:r>
    </w:p>
    <w:p>
      <w:pPr>
        <w:pStyle w:val="36"/>
        <w:spacing w:line="600" w:lineRule="exact"/>
        <w:ind w:firstLine="640" w:firstLineChars="200"/>
        <w:rPr>
          <w:rFonts w:hint="eastAsia" w:ascii="黑体" w:eastAsia="黑体"/>
          <w:sz w:val="32"/>
          <w:szCs w:val="32"/>
          <w:lang w:eastAsia="zh-CN"/>
        </w:rPr>
      </w:pPr>
      <w:r>
        <w:rPr>
          <w:rFonts w:hint="eastAsia" w:ascii="仿宋_GB2312" w:eastAsia="仿宋_GB2312"/>
          <w:sz w:val="32"/>
          <w:szCs w:val="32"/>
          <w:lang w:eastAsia="zh-CN"/>
        </w:rPr>
        <w:t>十、浮山县残联2018年机关运行经费预算财政拨款情况统计表</w:t>
      </w:r>
    </w:p>
    <w:p>
      <w:pPr>
        <w:pStyle w:val="36"/>
        <w:spacing w:line="600" w:lineRule="exact"/>
        <w:rPr>
          <w:rFonts w:hint="eastAsia" w:ascii="仿宋_GB2312" w:eastAsia="仿宋_GB2312"/>
          <w:sz w:val="32"/>
          <w:szCs w:val="32"/>
          <w:lang w:eastAsia="zh-CN"/>
        </w:rPr>
      </w:pPr>
    </w:p>
    <w:p>
      <w:pPr>
        <w:pStyle w:val="36"/>
        <w:spacing w:line="600" w:lineRule="exact"/>
        <w:jc w:val="center"/>
        <w:rPr>
          <w:rFonts w:hint="eastAsia" w:ascii="黑体" w:eastAsia="黑体"/>
          <w:sz w:val="32"/>
          <w:szCs w:val="32"/>
        </w:rPr>
      </w:pPr>
      <w:r>
        <w:rPr>
          <w:rFonts w:hint="eastAsia" w:ascii="黑体" w:eastAsia="黑体"/>
          <w:sz w:val="32"/>
          <w:szCs w:val="32"/>
        </w:rPr>
        <w:t>第三部分  2018年度部门预算情况说明</w:t>
      </w:r>
    </w:p>
    <w:p>
      <w:pPr>
        <w:pStyle w:val="36"/>
        <w:spacing w:line="600" w:lineRule="exact"/>
        <w:rPr>
          <w:rFonts w:hint="eastAsia" w:ascii="仿宋_GB2312" w:eastAsia="仿宋_GB2312"/>
          <w:sz w:val="32"/>
          <w:szCs w:val="32"/>
        </w:rPr>
      </w:pPr>
    </w:p>
    <w:p>
      <w:pPr>
        <w:pStyle w:val="36"/>
        <w:spacing w:line="600" w:lineRule="exact"/>
        <w:ind w:firstLine="640" w:firstLineChars="200"/>
        <w:rPr>
          <w:rFonts w:hint="eastAsia" w:ascii="黑体" w:eastAsia="黑体"/>
          <w:sz w:val="32"/>
          <w:szCs w:val="32"/>
          <w:lang w:eastAsia="zh-CN"/>
        </w:rPr>
      </w:pPr>
      <w:r>
        <w:rPr>
          <w:rFonts w:hint="eastAsia" w:ascii="黑体" w:eastAsia="黑体"/>
          <w:sz w:val="32"/>
          <w:szCs w:val="32"/>
          <w:lang w:eastAsia="zh-CN"/>
        </w:rPr>
        <w:t>一、2018年度部门预算数据变动情况及原因</w:t>
      </w:r>
    </w:p>
    <w:p>
      <w:pPr>
        <w:pStyle w:val="36"/>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2018年部门预算146.65万元，2017年部门预算162.41万元，减少15.76万元，减少9.7%，因人员退休。其中，2018年预算用于工资福利支出109.92万元，2017年预算用于工资福利支出92.26万元，增加17.66万元，因为增加了人员养老保险和职业年金；2018年预算对个人和家庭的补助支出0.06万元，2017年预算个人和家庭的补助支出39.6万元，减少39.54万元，因为退休人员转养老保险户发放；2018年预算商品和服务支出8.67万元，2017年预算商品和服务支出2.54万元，增加6.13万元，因为增加了工会经费和福利费和其他交通费用；2018年预算项目支出28万元，2017年预算项目支出28万，持平。</w:t>
      </w:r>
    </w:p>
    <w:p>
      <w:pPr>
        <w:pStyle w:val="36"/>
        <w:spacing w:line="600" w:lineRule="exact"/>
        <w:ind w:firstLine="640" w:firstLineChars="200"/>
        <w:rPr>
          <w:rFonts w:hint="eastAsia" w:ascii="黑体" w:eastAsia="黑体"/>
          <w:sz w:val="32"/>
          <w:szCs w:val="32"/>
        </w:rPr>
      </w:pPr>
      <w:r>
        <w:rPr>
          <w:rFonts w:hint="eastAsia" w:ascii="黑体" w:eastAsia="黑体"/>
          <w:sz w:val="32"/>
          <w:szCs w:val="32"/>
        </w:rPr>
        <w:t>二、“三公”经费增减变动原因说明</w:t>
      </w:r>
    </w:p>
    <w:p>
      <w:pPr>
        <w:pStyle w:val="36"/>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2018年“三公”经费预算1万元（公务用车运行维护费1万元），2017年“三公”经费1.7万元，减少0.7万元。减少了维修费。</w:t>
      </w:r>
    </w:p>
    <w:p>
      <w:pPr>
        <w:pStyle w:val="36"/>
        <w:spacing w:line="600" w:lineRule="exact"/>
        <w:ind w:firstLine="640" w:firstLineChars="200"/>
        <w:rPr>
          <w:rFonts w:hint="eastAsia" w:ascii="黑体" w:eastAsia="黑体"/>
          <w:sz w:val="32"/>
          <w:szCs w:val="32"/>
        </w:rPr>
      </w:pPr>
      <w:r>
        <w:rPr>
          <w:rFonts w:hint="eastAsia" w:ascii="黑体" w:eastAsia="黑体"/>
          <w:sz w:val="32"/>
          <w:szCs w:val="32"/>
        </w:rPr>
        <w:t>三、机关运行经费增减变动原因说明</w:t>
      </w:r>
    </w:p>
    <w:p>
      <w:pPr>
        <w:pStyle w:val="36"/>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浮山县残联2018年单位机关运行经费财政拨款预算</w:t>
      </w:r>
      <w:r>
        <w:rPr>
          <w:rFonts w:hint="eastAsia" w:ascii="仿宋_GB2312" w:eastAsia="仿宋_GB2312"/>
          <w:sz w:val="32"/>
          <w:szCs w:val="32"/>
          <w:lang w:val="en-US" w:eastAsia="zh-CN"/>
        </w:rPr>
        <w:t>8.67</w:t>
      </w:r>
      <w:r>
        <w:rPr>
          <w:rFonts w:hint="eastAsia" w:ascii="仿宋_GB2312" w:eastAsia="仿宋_GB2312"/>
          <w:sz w:val="32"/>
          <w:szCs w:val="32"/>
          <w:lang w:eastAsia="zh-CN"/>
        </w:rPr>
        <w:t>万元，2017年机关运行经费预算2.53万元，增加6.13万元，因为增加了工会经费和福利费和其他交通费用</w:t>
      </w:r>
      <w:bookmarkStart w:id="0" w:name="_GoBack"/>
      <w:bookmarkEnd w:id="0"/>
      <w:r>
        <w:rPr>
          <w:rFonts w:hint="eastAsia" w:ascii="仿宋_GB2312" w:eastAsia="仿宋_GB2312"/>
          <w:sz w:val="32"/>
          <w:szCs w:val="32"/>
          <w:lang w:eastAsia="zh-CN"/>
        </w:rPr>
        <w:t>。</w:t>
      </w:r>
    </w:p>
    <w:p>
      <w:pPr>
        <w:pStyle w:val="36"/>
        <w:spacing w:line="600" w:lineRule="exact"/>
        <w:ind w:firstLine="640" w:firstLineChars="200"/>
        <w:rPr>
          <w:rFonts w:hint="eastAsia" w:ascii="黑体" w:eastAsia="黑体"/>
          <w:sz w:val="32"/>
          <w:szCs w:val="32"/>
          <w:lang w:eastAsia="zh-CN"/>
        </w:rPr>
      </w:pPr>
      <w:r>
        <w:rPr>
          <w:rFonts w:hint="eastAsia" w:ascii="黑体" w:eastAsia="黑体"/>
          <w:sz w:val="32"/>
          <w:szCs w:val="32"/>
          <w:lang w:eastAsia="zh-CN"/>
        </w:rPr>
        <w:t>四、政府采购情况</w:t>
      </w:r>
    </w:p>
    <w:p>
      <w:pPr>
        <w:pStyle w:val="36"/>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2018年浮山县残联政府采购预算总额6万元，其中：政府采购残疾人辅助器具预算5万元、政府采购服务预算1万元。</w:t>
      </w:r>
    </w:p>
    <w:p>
      <w:pPr>
        <w:pStyle w:val="36"/>
        <w:spacing w:line="600" w:lineRule="exact"/>
        <w:ind w:firstLine="640" w:firstLineChars="200"/>
        <w:rPr>
          <w:rFonts w:hint="eastAsia" w:ascii="黑体" w:eastAsia="黑体"/>
          <w:sz w:val="32"/>
          <w:szCs w:val="32"/>
          <w:lang w:eastAsia="zh-CN"/>
        </w:rPr>
      </w:pPr>
      <w:r>
        <w:rPr>
          <w:rFonts w:hint="eastAsia" w:ascii="黑体" w:eastAsia="黑体"/>
          <w:sz w:val="32"/>
          <w:szCs w:val="32"/>
          <w:lang w:eastAsia="zh-CN"/>
        </w:rPr>
        <w:t>五、绩效管理情况</w:t>
      </w:r>
    </w:p>
    <w:p>
      <w:pPr>
        <w:pStyle w:val="36"/>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2018年浮山县残联实行绩效目标管理的项目2个，总投资28万元。</w:t>
      </w:r>
    </w:p>
    <w:p>
      <w:pPr>
        <w:pStyle w:val="36"/>
        <w:spacing w:line="600" w:lineRule="exact"/>
        <w:ind w:firstLine="640" w:firstLineChars="200"/>
        <w:rPr>
          <w:rFonts w:hint="eastAsia" w:ascii="黑体" w:eastAsia="黑体"/>
          <w:sz w:val="32"/>
          <w:szCs w:val="32"/>
          <w:lang w:eastAsia="zh-CN"/>
        </w:rPr>
      </w:pPr>
      <w:r>
        <w:rPr>
          <w:rFonts w:hint="eastAsia" w:ascii="黑体" w:eastAsia="黑体"/>
          <w:sz w:val="32"/>
          <w:szCs w:val="32"/>
          <w:lang w:eastAsia="zh-CN"/>
        </w:rPr>
        <w:t>六、其他说明</w:t>
      </w:r>
    </w:p>
    <w:p>
      <w:pPr>
        <w:pStyle w:val="36"/>
        <w:spacing w:line="600" w:lineRule="exact"/>
        <w:ind w:firstLine="640" w:firstLineChars="200"/>
        <w:rPr>
          <w:rFonts w:hint="eastAsia" w:ascii="楷体_GB2312" w:eastAsia="楷体_GB2312"/>
          <w:sz w:val="32"/>
          <w:szCs w:val="32"/>
          <w:lang w:eastAsia="zh-CN"/>
        </w:rPr>
      </w:pPr>
      <w:r>
        <w:rPr>
          <w:rFonts w:hint="eastAsia" w:ascii="楷体_GB2312" w:eastAsia="楷体_GB2312"/>
          <w:sz w:val="32"/>
          <w:szCs w:val="32"/>
          <w:lang w:eastAsia="zh-CN"/>
        </w:rPr>
        <w:t>（一）国有资产占有使用情况</w:t>
      </w:r>
    </w:p>
    <w:p>
      <w:pPr>
        <w:pStyle w:val="36"/>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1.车辆情况：省级残联配置1辆残疾人流动服务车</w:t>
      </w:r>
    </w:p>
    <w:p>
      <w:pPr>
        <w:pStyle w:val="36"/>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2.房屋情况：无</w:t>
      </w:r>
    </w:p>
    <w:p>
      <w:pPr>
        <w:pStyle w:val="36"/>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3.其他国有资产占有使用情况。</w:t>
      </w:r>
      <w:r>
        <w:rPr>
          <w:rFonts w:hint="eastAsia" w:ascii="仿宋_GB2312" w:eastAsia="仿宋_GB2312"/>
          <w:sz w:val="32"/>
          <w:szCs w:val="32"/>
        </w:rPr>
        <w:t>无</w:t>
      </w:r>
    </w:p>
    <w:p>
      <w:pPr>
        <w:pStyle w:val="36"/>
        <w:spacing w:line="600" w:lineRule="exact"/>
        <w:ind w:firstLine="640" w:firstLineChars="200"/>
        <w:rPr>
          <w:rFonts w:hint="eastAsia" w:ascii="楷体_GB2312" w:eastAsia="楷体_GB2312"/>
          <w:sz w:val="32"/>
          <w:szCs w:val="32"/>
          <w:lang w:eastAsia="zh-CN"/>
        </w:rPr>
      </w:pPr>
      <w:r>
        <w:rPr>
          <w:rFonts w:hint="eastAsia" w:ascii="楷体_GB2312" w:eastAsia="楷体_GB2312"/>
          <w:sz w:val="32"/>
          <w:szCs w:val="32"/>
          <w:lang w:eastAsia="zh-CN"/>
        </w:rPr>
        <w:t>（二）其他</w:t>
      </w:r>
    </w:p>
    <w:p>
      <w:pPr>
        <w:pStyle w:val="36"/>
        <w:spacing w:line="600" w:lineRule="exact"/>
        <w:ind w:firstLine="640" w:firstLineChars="200"/>
        <w:rPr>
          <w:rFonts w:hint="eastAsia" w:ascii="楷体_GB2312" w:eastAsia="楷体_GB2312"/>
          <w:sz w:val="32"/>
          <w:szCs w:val="32"/>
          <w:lang w:eastAsia="zh-CN"/>
        </w:rPr>
      </w:pPr>
    </w:p>
    <w:p>
      <w:pPr>
        <w:pStyle w:val="36"/>
        <w:spacing w:line="600" w:lineRule="exact"/>
        <w:jc w:val="center"/>
        <w:rPr>
          <w:rFonts w:hint="eastAsia" w:ascii="黑体" w:eastAsia="黑体"/>
          <w:sz w:val="32"/>
          <w:szCs w:val="32"/>
          <w:lang w:eastAsia="zh-CN"/>
        </w:rPr>
      </w:pPr>
    </w:p>
    <w:p>
      <w:pPr>
        <w:pStyle w:val="36"/>
        <w:spacing w:line="600" w:lineRule="exact"/>
        <w:jc w:val="center"/>
        <w:rPr>
          <w:rFonts w:hint="eastAsia" w:ascii="黑体" w:eastAsia="黑体"/>
          <w:sz w:val="32"/>
          <w:szCs w:val="32"/>
          <w:lang w:eastAsia="zh-CN"/>
        </w:rPr>
      </w:pPr>
    </w:p>
    <w:p>
      <w:pPr>
        <w:pStyle w:val="36"/>
        <w:spacing w:line="600" w:lineRule="exact"/>
        <w:jc w:val="center"/>
        <w:rPr>
          <w:rFonts w:hint="eastAsia" w:ascii="黑体" w:eastAsia="黑体"/>
          <w:sz w:val="32"/>
          <w:szCs w:val="32"/>
          <w:lang w:eastAsia="zh-CN"/>
        </w:rPr>
      </w:pPr>
    </w:p>
    <w:p>
      <w:pPr>
        <w:pStyle w:val="36"/>
        <w:spacing w:line="600" w:lineRule="exact"/>
        <w:jc w:val="center"/>
        <w:rPr>
          <w:rFonts w:hint="eastAsia" w:ascii="黑体" w:eastAsia="黑体"/>
          <w:sz w:val="32"/>
          <w:szCs w:val="32"/>
          <w:lang w:eastAsia="zh-CN"/>
        </w:rPr>
      </w:pPr>
    </w:p>
    <w:p>
      <w:pPr>
        <w:pStyle w:val="36"/>
        <w:spacing w:line="600" w:lineRule="exact"/>
        <w:jc w:val="center"/>
        <w:rPr>
          <w:rFonts w:hint="eastAsia" w:ascii="黑体" w:eastAsia="黑体"/>
          <w:sz w:val="32"/>
          <w:szCs w:val="32"/>
          <w:lang w:eastAsia="zh-CN"/>
        </w:rPr>
      </w:pPr>
    </w:p>
    <w:p>
      <w:pPr>
        <w:pStyle w:val="36"/>
        <w:spacing w:line="600" w:lineRule="exact"/>
        <w:jc w:val="center"/>
        <w:rPr>
          <w:rFonts w:hint="eastAsia" w:ascii="黑体" w:eastAsia="黑体"/>
          <w:sz w:val="32"/>
          <w:szCs w:val="32"/>
          <w:lang w:eastAsia="zh-CN"/>
        </w:rPr>
      </w:pPr>
    </w:p>
    <w:p>
      <w:pPr>
        <w:pStyle w:val="36"/>
        <w:spacing w:line="600" w:lineRule="exact"/>
        <w:jc w:val="center"/>
        <w:rPr>
          <w:rFonts w:hint="eastAsia" w:ascii="黑体" w:eastAsia="黑体"/>
          <w:sz w:val="32"/>
          <w:szCs w:val="32"/>
          <w:lang w:eastAsia="zh-CN"/>
        </w:rPr>
      </w:pPr>
    </w:p>
    <w:p>
      <w:pPr>
        <w:pStyle w:val="36"/>
        <w:spacing w:line="600" w:lineRule="exact"/>
        <w:jc w:val="center"/>
        <w:rPr>
          <w:rFonts w:hint="eastAsia" w:ascii="黑体" w:eastAsia="黑体"/>
          <w:sz w:val="32"/>
          <w:szCs w:val="32"/>
          <w:lang w:eastAsia="zh-CN"/>
        </w:rPr>
      </w:pPr>
    </w:p>
    <w:p>
      <w:pPr>
        <w:pStyle w:val="36"/>
        <w:spacing w:line="600" w:lineRule="exact"/>
        <w:jc w:val="center"/>
        <w:rPr>
          <w:rFonts w:hint="eastAsia" w:ascii="黑体" w:eastAsia="黑体"/>
          <w:sz w:val="32"/>
          <w:szCs w:val="32"/>
          <w:lang w:eastAsia="zh-CN"/>
        </w:rPr>
      </w:pPr>
    </w:p>
    <w:p>
      <w:pPr>
        <w:pStyle w:val="36"/>
        <w:spacing w:line="600" w:lineRule="exact"/>
        <w:jc w:val="center"/>
        <w:rPr>
          <w:rFonts w:hint="eastAsia" w:ascii="黑体" w:eastAsia="黑体"/>
          <w:sz w:val="32"/>
          <w:szCs w:val="32"/>
          <w:lang w:eastAsia="zh-CN"/>
        </w:rPr>
      </w:pPr>
    </w:p>
    <w:p>
      <w:pPr>
        <w:pStyle w:val="36"/>
        <w:spacing w:line="600" w:lineRule="exact"/>
        <w:jc w:val="center"/>
        <w:rPr>
          <w:rFonts w:hint="eastAsia" w:ascii="黑体" w:eastAsia="黑体"/>
          <w:sz w:val="32"/>
          <w:szCs w:val="32"/>
          <w:lang w:eastAsia="zh-CN"/>
        </w:rPr>
      </w:pPr>
    </w:p>
    <w:p>
      <w:pPr>
        <w:pStyle w:val="36"/>
        <w:spacing w:line="600" w:lineRule="exact"/>
        <w:jc w:val="center"/>
        <w:rPr>
          <w:rFonts w:hint="eastAsia" w:ascii="黑体" w:eastAsia="黑体"/>
          <w:sz w:val="32"/>
          <w:szCs w:val="32"/>
          <w:lang w:eastAsia="zh-CN"/>
        </w:rPr>
      </w:pPr>
    </w:p>
    <w:p>
      <w:pPr>
        <w:pStyle w:val="36"/>
        <w:spacing w:line="600" w:lineRule="exact"/>
        <w:jc w:val="center"/>
        <w:rPr>
          <w:rFonts w:hint="eastAsia" w:ascii="黑体" w:eastAsia="黑体"/>
          <w:sz w:val="32"/>
          <w:szCs w:val="32"/>
          <w:lang w:eastAsia="zh-CN"/>
        </w:rPr>
      </w:pPr>
    </w:p>
    <w:p>
      <w:pPr>
        <w:pStyle w:val="36"/>
        <w:spacing w:line="600" w:lineRule="exact"/>
        <w:jc w:val="center"/>
        <w:rPr>
          <w:rFonts w:hint="eastAsia" w:ascii="黑体" w:eastAsia="黑体"/>
          <w:sz w:val="32"/>
          <w:szCs w:val="32"/>
          <w:lang w:eastAsia="zh-CN"/>
        </w:rPr>
      </w:pPr>
    </w:p>
    <w:p>
      <w:pPr>
        <w:pStyle w:val="36"/>
        <w:spacing w:line="600" w:lineRule="exact"/>
        <w:jc w:val="center"/>
        <w:rPr>
          <w:rFonts w:hint="eastAsia" w:ascii="黑体" w:eastAsia="黑体"/>
          <w:sz w:val="32"/>
          <w:szCs w:val="32"/>
          <w:lang w:eastAsia="zh-CN"/>
        </w:rPr>
      </w:pPr>
    </w:p>
    <w:p>
      <w:pPr>
        <w:pStyle w:val="36"/>
        <w:spacing w:line="600" w:lineRule="exact"/>
        <w:jc w:val="center"/>
        <w:rPr>
          <w:rFonts w:hint="eastAsia" w:ascii="黑体" w:eastAsia="黑体"/>
          <w:sz w:val="32"/>
          <w:szCs w:val="32"/>
          <w:lang w:eastAsia="zh-CN"/>
        </w:rPr>
      </w:pPr>
    </w:p>
    <w:p>
      <w:pPr>
        <w:pStyle w:val="36"/>
        <w:spacing w:line="600" w:lineRule="exact"/>
        <w:jc w:val="center"/>
        <w:rPr>
          <w:rFonts w:hint="eastAsia" w:ascii="黑体" w:eastAsia="黑体"/>
          <w:sz w:val="32"/>
          <w:szCs w:val="32"/>
          <w:lang w:eastAsia="zh-CN"/>
        </w:rPr>
      </w:pPr>
    </w:p>
    <w:p>
      <w:pPr>
        <w:pStyle w:val="36"/>
        <w:spacing w:line="600" w:lineRule="exact"/>
        <w:jc w:val="center"/>
        <w:rPr>
          <w:rFonts w:hint="eastAsia" w:ascii="黑体" w:eastAsia="黑体"/>
          <w:sz w:val="32"/>
          <w:szCs w:val="32"/>
        </w:rPr>
      </w:pPr>
      <w:r>
        <w:rPr>
          <w:rFonts w:hint="eastAsia" w:ascii="黑体" w:eastAsia="黑体"/>
          <w:sz w:val="32"/>
          <w:szCs w:val="32"/>
        </w:rPr>
        <w:t>第四部分  名词解释</w:t>
      </w:r>
    </w:p>
    <w:p>
      <w:pPr>
        <w:pStyle w:val="36"/>
        <w:spacing w:line="600" w:lineRule="exact"/>
        <w:rPr>
          <w:rFonts w:hint="eastAsia" w:ascii="仿宋_GB2312" w:eastAsia="仿宋_GB2312"/>
          <w:sz w:val="32"/>
          <w:szCs w:val="32"/>
        </w:rPr>
      </w:pPr>
    </w:p>
    <w:p>
      <w:pPr>
        <w:pStyle w:val="36"/>
        <w:spacing w:line="600" w:lineRule="exact"/>
        <w:ind w:firstLine="640" w:firstLineChars="200"/>
        <w:rPr>
          <w:rFonts w:hint="eastAsia" w:ascii="仿宋_GB2312" w:eastAsia="仿宋_GB2312"/>
          <w:sz w:val="32"/>
          <w:szCs w:val="32"/>
          <w:lang w:eastAsia="zh-CN"/>
        </w:rPr>
      </w:pPr>
      <w:r>
        <w:rPr>
          <w:rFonts w:hint="eastAsia" w:ascii="仿宋_GB2312" w:hAnsi="楷体" w:eastAsia="仿宋_GB2312"/>
          <w:sz w:val="32"/>
          <w:szCs w:val="32"/>
          <w:lang w:eastAsia="zh-CN"/>
        </w:rPr>
        <w:t>（一）基本支出</w:t>
      </w:r>
      <w:r>
        <w:rPr>
          <w:rFonts w:hint="eastAsia" w:ascii="仿宋_GB2312" w:eastAsia="仿宋_GB2312"/>
          <w:sz w:val="32"/>
          <w:szCs w:val="32"/>
          <w:lang w:eastAsia="zh-CN"/>
        </w:rPr>
        <w:t>：指为保障机构正常运转、完成日常</w:t>
      </w:r>
    </w:p>
    <w:p>
      <w:pPr>
        <w:pStyle w:val="36"/>
        <w:spacing w:line="600" w:lineRule="exact"/>
        <w:rPr>
          <w:rFonts w:hint="eastAsia" w:ascii="仿宋_GB2312" w:eastAsia="仿宋_GB2312"/>
          <w:sz w:val="32"/>
          <w:szCs w:val="32"/>
          <w:lang w:eastAsia="zh-CN"/>
        </w:rPr>
      </w:pPr>
      <w:r>
        <w:rPr>
          <w:rFonts w:hint="eastAsia" w:ascii="仿宋_GB2312" w:eastAsia="仿宋_GB2312"/>
          <w:sz w:val="32"/>
          <w:szCs w:val="32"/>
          <w:lang w:eastAsia="zh-CN"/>
        </w:rPr>
        <w:t>工作任务而发生的人员支出和公用支出。</w:t>
      </w:r>
    </w:p>
    <w:p>
      <w:pPr>
        <w:pStyle w:val="36"/>
        <w:spacing w:line="600" w:lineRule="exact"/>
        <w:ind w:firstLine="640" w:firstLineChars="200"/>
        <w:rPr>
          <w:rFonts w:hint="eastAsia" w:ascii="仿宋_GB2312" w:eastAsia="仿宋_GB2312"/>
          <w:sz w:val="32"/>
          <w:szCs w:val="32"/>
          <w:lang w:eastAsia="zh-CN"/>
        </w:rPr>
      </w:pPr>
      <w:r>
        <w:rPr>
          <w:rFonts w:hint="eastAsia" w:ascii="仿宋_GB2312" w:hAnsi="楷体" w:eastAsia="仿宋_GB2312"/>
          <w:sz w:val="32"/>
          <w:szCs w:val="32"/>
          <w:lang w:eastAsia="zh-CN"/>
        </w:rPr>
        <w:t>（二）项目支出</w:t>
      </w:r>
      <w:r>
        <w:rPr>
          <w:rFonts w:hint="eastAsia" w:ascii="仿宋_GB2312" w:eastAsia="仿宋_GB2312"/>
          <w:sz w:val="32"/>
          <w:szCs w:val="32"/>
          <w:lang w:eastAsia="zh-CN"/>
        </w:rPr>
        <w:t>：指在基本支出之外为完成特定行政任务和事业发展目标所发生的支出。</w:t>
      </w:r>
    </w:p>
    <w:p>
      <w:pPr>
        <w:pStyle w:val="36"/>
        <w:spacing w:line="600" w:lineRule="exact"/>
        <w:ind w:firstLine="640" w:firstLineChars="200"/>
        <w:rPr>
          <w:rFonts w:hint="eastAsia" w:ascii="仿宋_GB2312" w:eastAsia="仿宋_GB2312"/>
          <w:sz w:val="32"/>
          <w:szCs w:val="32"/>
          <w:lang w:eastAsia="zh-CN"/>
        </w:rPr>
      </w:pPr>
      <w:r>
        <w:rPr>
          <w:rFonts w:hint="eastAsia" w:ascii="仿宋_GB2312" w:hAnsi="楷体" w:eastAsia="仿宋_GB2312"/>
          <w:sz w:val="32"/>
          <w:szCs w:val="32"/>
          <w:lang w:eastAsia="zh-CN"/>
        </w:rPr>
        <w:t>（三）“三公”经费</w:t>
      </w:r>
      <w:r>
        <w:rPr>
          <w:rFonts w:hint="eastAsia" w:ascii="仿宋_GB2312" w:eastAsia="仿宋_GB2312"/>
          <w:sz w:val="32"/>
          <w:szCs w:val="32"/>
          <w:lang w:eastAsia="zh-CN"/>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pStyle w:val="36"/>
        <w:spacing w:line="600" w:lineRule="exact"/>
        <w:ind w:firstLine="640" w:firstLineChars="200"/>
        <w:rPr>
          <w:rFonts w:hint="eastAsia" w:ascii="仿宋_GB2312" w:eastAsia="仿宋_GB2312"/>
          <w:sz w:val="32"/>
          <w:szCs w:val="32"/>
          <w:lang w:eastAsia="zh-CN"/>
        </w:rPr>
      </w:pPr>
      <w:r>
        <w:rPr>
          <w:rFonts w:hint="eastAsia" w:ascii="仿宋_GB2312" w:hAnsi="楷体" w:eastAsia="仿宋_GB2312"/>
          <w:sz w:val="32"/>
          <w:szCs w:val="32"/>
          <w:lang w:eastAsia="zh-CN"/>
        </w:rPr>
        <w:t>（四）机关运行经费</w:t>
      </w:r>
      <w:r>
        <w:rPr>
          <w:rFonts w:hint="eastAsia" w:ascii="仿宋_GB2312" w:eastAsia="仿宋_GB2312"/>
          <w:sz w:val="32"/>
          <w:szCs w:val="32"/>
          <w:lang w:eastAsia="zh-CN"/>
        </w:rPr>
        <w:t>：指行政单位和参照公务员法管理的事业单位使用一般公共预算安排的基本支出中的日常公用经费支出。</w:t>
      </w:r>
    </w:p>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roman"/>
    <w:pitch w:val="default"/>
    <w:sig w:usb0="A00002EF" w:usb1="4000207B" w:usb2="00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Dotum">
    <w:panose1 w:val="020B0600000101010101"/>
    <w:charset w:val="81"/>
    <w:family w:val="swiss"/>
    <w:pitch w:val="default"/>
    <w:sig w:usb0="B00002AF" w:usb1="69D77CFB" w:usb2="00000030" w:usb3="00000000" w:csb0="4008009F" w:csb1="DFD7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560"/>
      <w:rPr>
        <w:rStyle w:val="17"/>
        <w:rFonts w:ascii="宋体" w:hAnsi="宋体"/>
        <w:sz w:val="28"/>
        <w:szCs w:val="28"/>
      </w:rPr>
    </w:pPr>
    <w:r>
      <w:rPr>
        <w:rStyle w:val="17"/>
        <w:rFonts w:hint="eastAsia" w:ascii="宋体" w:hAnsi="宋体"/>
        <w:sz w:val="28"/>
        <w:szCs w:val="28"/>
      </w:rPr>
      <w:t xml:space="preserve">— </w:t>
    </w:r>
    <w:r>
      <w:fldChar w:fldCharType="begin"/>
    </w:r>
    <w:r>
      <w:rPr>
        <w:rStyle w:val="17"/>
        <w:rFonts w:ascii="宋体" w:hAnsi="宋体"/>
        <w:sz w:val="28"/>
        <w:szCs w:val="28"/>
      </w:rPr>
      <w:instrText xml:space="preserve">PAGE  </w:instrText>
    </w:r>
    <w:r>
      <w:fldChar w:fldCharType="separate"/>
    </w:r>
    <w:r>
      <w:rPr>
        <w:rStyle w:val="17"/>
        <w:rFonts w:ascii="宋体" w:hAnsi="宋体"/>
        <w:sz w:val="28"/>
        <w:szCs w:val="28"/>
      </w:rPr>
      <w:t>6</w:t>
    </w:r>
    <w:r>
      <w:fldChar w:fldCharType="end"/>
    </w:r>
    <w:r>
      <w:rPr>
        <w:rStyle w:val="17"/>
        <w:rFonts w:hint="eastAsia" w:ascii="宋体" w:hAnsi="宋体"/>
        <w:sz w:val="28"/>
        <w:szCs w:val="28"/>
      </w:rPr>
      <w:t xml:space="preserve"> —</w:t>
    </w:r>
  </w:p>
  <w:p>
    <w:pPr>
      <w:pStyle w:val="11"/>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560"/>
      <w:rPr>
        <w:rStyle w:val="17"/>
        <w:rFonts w:ascii="宋体" w:hAnsi="宋体"/>
        <w:sz w:val="28"/>
        <w:szCs w:val="28"/>
      </w:rPr>
    </w:pPr>
    <w:r>
      <w:rPr>
        <w:rStyle w:val="17"/>
        <w:rFonts w:hint="eastAsia" w:ascii="宋体" w:hAnsi="宋体"/>
        <w:sz w:val="28"/>
        <w:szCs w:val="28"/>
      </w:rPr>
      <w:t xml:space="preserve">— </w:t>
    </w:r>
    <w:r>
      <w:fldChar w:fldCharType="begin"/>
    </w:r>
    <w:r>
      <w:rPr>
        <w:rStyle w:val="17"/>
        <w:rFonts w:ascii="宋体" w:hAnsi="宋体"/>
        <w:sz w:val="28"/>
        <w:szCs w:val="28"/>
      </w:rPr>
      <w:instrText xml:space="preserve">PAGE  </w:instrText>
    </w:r>
    <w:r>
      <w:fldChar w:fldCharType="separate"/>
    </w:r>
    <w:r>
      <w:rPr>
        <w:rStyle w:val="17"/>
        <w:rFonts w:ascii="宋体" w:hAnsi="宋体"/>
        <w:sz w:val="28"/>
        <w:szCs w:val="28"/>
      </w:rPr>
      <w:t>18</w:t>
    </w:r>
    <w:r>
      <w:fldChar w:fldCharType="end"/>
    </w:r>
    <w:r>
      <w:rPr>
        <w:rStyle w:val="17"/>
        <w:rFonts w:hint="eastAsia" w:ascii="宋体" w:hAnsi="宋体"/>
        <w:sz w:val="28"/>
        <w:szCs w:val="28"/>
      </w:rPr>
      <w:t xml:space="preserve"> —</w:t>
    </w:r>
  </w:p>
  <w:p>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91BC2"/>
    <w:rsid w:val="000159C1"/>
    <w:rsid w:val="00057549"/>
    <w:rsid w:val="000B0087"/>
    <w:rsid w:val="00161438"/>
    <w:rsid w:val="00491BC2"/>
    <w:rsid w:val="006B4815"/>
    <w:rsid w:val="007E65DE"/>
    <w:rsid w:val="00A52E43"/>
    <w:rsid w:val="00AD6A39"/>
    <w:rsid w:val="00B048C6"/>
    <w:rsid w:val="00D536A2"/>
    <w:rsid w:val="00D71EDA"/>
    <w:rsid w:val="00E03E8C"/>
    <w:rsid w:val="0E0A19CE"/>
    <w:rsid w:val="0E377F12"/>
    <w:rsid w:val="16D615E7"/>
    <w:rsid w:val="17747492"/>
    <w:rsid w:val="1D942CF9"/>
    <w:rsid w:val="20FA22CA"/>
    <w:rsid w:val="211A3DA9"/>
    <w:rsid w:val="27126EF0"/>
    <w:rsid w:val="2F1374C2"/>
    <w:rsid w:val="319C0F56"/>
    <w:rsid w:val="3560563D"/>
    <w:rsid w:val="3B271A06"/>
    <w:rsid w:val="576B5573"/>
    <w:rsid w:val="668379CB"/>
    <w:rsid w:val="6F8523F2"/>
    <w:rsid w:val="737B4D70"/>
    <w:rsid w:val="7CED2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0" w:semiHidden="0" w:name="header"/>
    <w:lsdException w:uiPriority="0" w:semiHidden="0" w:name="footer"/>
    <w:lsdException w:unhideWhenUsed="0" w:uiPriority="0" w:semiHidden="0" w:name="index heading"/>
    <w:lsdException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en-US"/>
    </w:rPr>
  </w:style>
  <w:style w:type="paragraph" w:styleId="2">
    <w:name w:val="heading 1"/>
    <w:basedOn w:val="1"/>
    <w:next w:val="1"/>
    <w:link w:val="25"/>
    <w:qFormat/>
    <w:uiPriority w:val="9"/>
    <w:pPr>
      <w:spacing w:before="480" w:after="0"/>
      <w:contextualSpacing/>
      <w:outlineLvl w:val="0"/>
    </w:pPr>
    <w:rPr>
      <w:rFonts w:asciiTheme="majorHAnsi" w:hAnsiTheme="majorHAnsi" w:eastAsiaTheme="majorEastAsia" w:cstheme="majorBidi"/>
      <w:b/>
      <w:bCs/>
      <w:sz w:val="28"/>
      <w:szCs w:val="28"/>
    </w:rPr>
  </w:style>
  <w:style w:type="paragraph" w:styleId="3">
    <w:name w:val="heading 2"/>
    <w:basedOn w:val="1"/>
    <w:next w:val="1"/>
    <w:link w:val="26"/>
    <w:unhideWhenUsed/>
    <w:qFormat/>
    <w:uiPriority w:val="9"/>
    <w:pPr>
      <w:spacing w:before="200" w:after="0"/>
      <w:outlineLvl w:val="1"/>
    </w:pPr>
    <w:rPr>
      <w:rFonts w:asciiTheme="majorHAnsi" w:hAnsiTheme="majorHAnsi" w:eastAsiaTheme="majorEastAsia" w:cstheme="majorBidi"/>
      <w:b/>
      <w:bCs/>
      <w:sz w:val="26"/>
      <w:szCs w:val="26"/>
    </w:rPr>
  </w:style>
  <w:style w:type="paragraph" w:styleId="4">
    <w:name w:val="heading 3"/>
    <w:basedOn w:val="1"/>
    <w:next w:val="1"/>
    <w:link w:val="27"/>
    <w:semiHidden/>
    <w:unhideWhenUsed/>
    <w:qFormat/>
    <w:uiPriority w:val="9"/>
    <w:pPr>
      <w:spacing w:before="200" w:after="0" w:line="271" w:lineRule="auto"/>
      <w:outlineLvl w:val="2"/>
    </w:pPr>
    <w:rPr>
      <w:rFonts w:asciiTheme="majorHAnsi" w:hAnsiTheme="majorHAnsi" w:eastAsiaTheme="majorEastAsia" w:cstheme="majorBidi"/>
      <w:b/>
      <w:bCs/>
    </w:rPr>
  </w:style>
  <w:style w:type="paragraph" w:styleId="5">
    <w:name w:val="heading 4"/>
    <w:basedOn w:val="1"/>
    <w:next w:val="1"/>
    <w:link w:val="28"/>
    <w:semiHidden/>
    <w:unhideWhenUsed/>
    <w:qFormat/>
    <w:uiPriority w:val="9"/>
    <w:pPr>
      <w:spacing w:before="200" w:after="0"/>
      <w:outlineLvl w:val="3"/>
    </w:pPr>
    <w:rPr>
      <w:rFonts w:asciiTheme="majorHAnsi" w:hAnsiTheme="majorHAnsi" w:eastAsiaTheme="majorEastAsia" w:cstheme="majorBidi"/>
      <w:b/>
      <w:bCs/>
      <w:i/>
      <w:iCs/>
    </w:rPr>
  </w:style>
  <w:style w:type="paragraph" w:styleId="6">
    <w:name w:val="heading 5"/>
    <w:basedOn w:val="1"/>
    <w:next w:val="1"/>
    <w:link w:val="29"/>
    <w:semiHidden/>
    <w:unhideWhenUsed/>
    <w:qFormat/>
    <w:uiPriority w:val="9"/>
    <w:pPr>
      <w:spacing w:before="200" w:after="0"/>
      <w:outlineLvl w:val="4"/>
    </w:pPr>
    <w:rPr>
      <w:rFonts w:asciiTheme="majorHAnsi" w:hAnsiTheme="majorHAnsi" w:eastAsiaTheme="majorEastAsia" w:cstheme="majorBidi"/>
      <w:b/>
      <w:bCs/>
      <w:color w:val="7E7E7E" w:themeColor="text1" w:themeTint="80"/>
    </w:rPr>
  </w:style>
  <w:style w:type="paragraph" w:styleId="7">
    <w:name w:val="heading 6"/>
    <w:basedOn w:val="1"/>
    <w:next w:val="1"/>
    <w:link w:val="30"/>
    <w:semiHidden/>
    <w:unhideWhenUsed/>
    <w:qFormat/>
    <w:uiPriority w:val="9"/>
    <w:pPr>
      <w:spacing w:after="0" w:line="271" w:lineRule="auto"/>
      <w:outlineLvl w:val="5"/>
    </w:pPr>
    <w:rPr>
      <w:rFonts w:asciiTheme="majorHAnsi" w:hAnsiTheme="majorHAnsi" w:eastAsiaTheme="majorEastAsia" w:cstheme="majorBidi"/>
      <w:b/>
      <w:bCs/>
      <w:i/>
      <w:iCs/>
      <w:color w:val="7E7E7E" w:themeColor="text1" w:themeTint="80"/>
    </w:rPr>
  </w:style>
  <w:style w:type="paragraph" w:styleId="8">
    <w:name w:val="heading 7"/>
    <w:basedOn w:val="1"/>
    <w:next w:val="1"/>
    <w:link w:val="31"/>
    <w:semiHidden/>
    <w:unhideWhenUsed/>
    <w:qFormat/>
    <w:uiPriority w:val="9"/>
    <w:pPr>
      <w:spacing w:after="0"/>
      <w:outlineLvl w:val="6"/>
    </w:pPr>
    <w:rPr>
      <w:rFonts w:asciiTheme="majorHAnsi" w:hAnsiTheme="majorHAnsi" w:eastAsiaTheme="majorEastAsia" w:cstheme="majorBidi"/>
      <w:i/>
      <w:iCs/>
    </w:rPr>
  </w:style>
  <w:style w:type="paragraph" w:styleId="9">
    <w:name w:val="heading 8"/>
    <w:basedOn w:val="1"/>
    <w:next w:val="1"/>
    <w:link w:val="32"/>
    <w:semiHidden/>
    <w:unhideWhenUsed/>
    <w:qFormat/>
    <w:uiPriority w:val="9"/>
    <w:pPr>
      <w:spacing w:after="0"/>
      <w:outlineLvl w:val="7"/>
    </w:pPr>
    <w:rPr>
      <w:rFonts w:asciiTheme="majorHAnsi" w:hAnsiTheme="majorHAnsi" w:eastAsiaTheme="majorEastAsia" w:cstheme="majorBidi"/>
      <w:sz w:val="20"/>
      <w:szCs w:val="20"/>
    </w:rPr>
  </w:style>
  <w:style w:type="paragraph" w:styleId="10">
    <w:name w:val="heading 9"/>
    <w:basedOn w:val="1"/>
    <w:next w:val="1"/>
    <w:link w:val="33"/>
    <w:semiHidden/>
    <w:unhideWhenUsed/>
    <w:qFormat/>
    <w:uiPriority w:val="9"/>
    <w:pPr>
      <w:spacing w:after="0"/>
      <w:outlineLvl w:val="8"/>
    </w:pPr>
    <w:rPr>
      <w:rFonts w:asciiTheme="majorHAnsi" w:hAnsiTheme="majorHAnsi" w:eastAsiaTheme="majorEastAsia" w:cstheme="majorBidi"/>
      <w:i/>
      <w:iCs/>
      <w:spacing w:val="5"/>
      <w:sz w:val="20"/>
      <w:szCs w:val="20"/>
    </w:rPr>
  </w:style>
  <w:style w:type="character" w:default="1" w:styleId="15">
    <w:name w:val="Default Paragraph Font"/>
    <w:semiHidden/>
    <w:unhideWhenUsed/>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footer"/>
    <w:basedOn w:val="1"/>
    <w:link w:val="22"/>
    <w:unhideWhenUsed/>
    <w:uiPriority w:val="0"/>
    <w:pPr>
      <w:tabs>
        <w:tab w:val="center" w:pos="4153"/>
        <w:tab w:val="right" w:pos="8306"/>
      </w:tabs>
      <w:snapToGrid w:val="0"/>
    </w:pPr>
    <w:rPr>
      <w:sz w:val="18"/>
      <w:szCs w:val="18"/>
    </w:rPr>
  </w:style>
  <w:style w:type="paragraph" w:styleId="12">
    <w:name w:val="header"/>
    <w:basedOn w:val="1"/>
    <w:unhideWhenUsed/>
    <w:uiPriority w:val="0"/>
    <w:pPr>
      <w:pBdr>
        <w:bottom w:val="single" w:color="auto" w:sz="6" w:space="1"/>
      </w:pBdr>
      <w:tabs>
        <w:tab w:val="center" w:pos="4153"/>
        <w:tab w:val="right" w:pos="8306"/>
      </w:tabs>
      <w:snapToGrid w:val="0"/>
      <w:jc w:val="center"/>
    </w:pPr>
    <w:rPr>
      <w:sz w:val="18"/>
      <w:szCs w:val="18"/>
    </w:rPr>
  </w:style>
  <w:style w:type="paragraph" w:styleId="13">
    <w:name w:val="Subtitle"/>
    <w:basedOn w:val="1"/>
    <w:next w:val="1"/>
    <w:link w:val="34"/>
    <w:qFormat/>
    <w:uiPriority w:val="11"/>
    <w:pPr>
      <w:spacing w:after="600"/>
    </w:pPr>
    <w:rPr>
      <w:rFonts w:asciiTheme="majorHAnsi" w:hAnsiTheme="majorHAnsi" w:eastAsiaTheme="majorEastAsia" w:cstheme="majorBidi"/>
      <w:i/>
      <w:iCs/>
      <w:spacing w:val="13"/>
      <w:sz w:val="24"/>
      <w:szCs w:val="24"/>
    </w:rPr>
  </w:style>
  <w:style w:type="paragraph" w:styleId="14">
    <w:name w:val="Title"/>
    <w:basedOn w:val="1"/>
    <w:next w:val="1"/>
    <w:link w:val="24"/>
    <w:qFormat/>
    <w:uiPriority w:val="10"/>
    <w:pPr>
      <w:pBdr>
        <w:bottom w:val="single" w:color="auto" w:sz="4" w:space="1"/>
      </w:pBdr>
      <w:spacing w:line="240" w:lineRule="auto"/>
      <w:contextualSpacing/>
    </w:pPr>
    <w:rPr>
      <w:rFonts w:asciiTheme="majorHAnsi" w:hAnsiTheme="majorHAnsi" w:eastAsiaTheme="majorEastAsia" w:cstheme="majorBidi"/>
      <w:spacing w:val="5"/>
      <w:sz w:val="52"/>
      <w:szCs w:val="52"/>
    </w:rPr>
  </w:style>
  <w:style w:type="character" w:styleId="16">
    <w:name w:val="Strong"/>
    <w:qFormat/>
    <w:uiPriority w:val="22"/>
    <w:rPr>
      <w:b/>
      <w:bCs/>
    </w:rPr>
  </w:style>
  <w:style w:type="character" w:styleId="17">
    <w:name w:val="page number"/>
    <w:basedOn w:val="15"/>
    <w:uiPriority w:val="0"/>
  </w:style>
  <w:style w:type="character" w:styleId="18">
    <w:name w:val="Emphasis"/>
    <w:qFormat/>
    <w:uiPriority w:val="20"/>
    <w:rPr>
      <w:b/>
      <w:bCs/>
      <w:i/>
      <w:iCs/>
      <w:spacing w:val="10"/>
      <w:shd w:val="clear" w:color="auto" w:fill="auto"/>
    </w:rPr>
  </w:style>
  <w:style w:type="paragraph" w:customStyle="1" w:styleId="20">
    <w:name w:val="Char Char Char Char Char Char Char"/>
    <w:basedOn w:val="1"/>
    <w:uiPriority w:val="0"/>
    <w:rPr>
      <w:rFonts w:ascii="Times New Roman" w:hAnsi="Times New Roman"/>
      <w:szCs w:val="24"/>
    </w:rPr>
  </w:style>
  <w:style w:type="paragraph" w:customStyle="1" w:styleId="21">
    <w:name w:val="样式1"/>
    <w:basedOn w:val="1"/>
    <w:link w:val="23"/>
    <w:uiPriority w:val="0"/>
  </w:style>
  <w:style w:type="character" w:customStyle="1" w:styleId="22">
    <w:name w:val="页脚 Char"/>
    <w:basedOn w:val="15"/>
    <w:link w:val="11"/>
    <w:uiPriority w:val="0"/>
    <w:rPr>
      <w:rFonts w:ascii="仿宋_GB2312" w:eastAsia="仿宋_GB2312"/>
      <w:kern w:val="2"/>
      <w:sz w:val="18"/>
      <w:szCs w:val="18"/>
    </w:rPr>
  </w:style>
  <w:style w:type="character" w:customStyle="1" w:styleId="23">
    <w:name w:val="样式1 Char"/>
    <w:basedOn w:val="15"/>
    <w:link w:val="21"/>
    <w:uiPriority w:val="0"/>
    <w:rPr>
      <w:rFonts w:ascii="仿宋_GB2312" w:eastAsia="仿宋_GB2312"/>
      <w:kern w:val="2"/>
      <w:sz w:val="32"/>
      <w:szCs w:val="32"/>
    </w:rPr>
  </w:style>
  <w:style w:type="character" w:customStyle="1" w:styleId="24">
    <w:name w:val="标题 Char"/>
    <w:basedOn w:val="15"/>
    <w:link w:val="14"/>
    <w:qFormat/>
    <w:uiPriority w:val="10"/>
    <w:rPr>
      <w:rFonts w:asciiTheme="majorHAnsi" w:hAnsiTheme="majorHAnsi" w:eastAsiaTheme="majorEastAsia" w:cstheme="majorBidi"/>
      <w:spacing w:val="5"/>
      <w:sz w:val="52"/>
      <w:szCs w:val="52"/>
    </w:rPr>
  </w:style>
  <w:style w:type="character" w:customStyle="1" w:styleId="25">
    <w:name w:val="标题 1 Char"/>
    <w:basedOn w:val="15"/>
    <w:link w:val="2"/>
    <w:uiPriority w:val="9"/>
    <w:rPr>
      <w:rFonts w:asciiTheme="majorHAnsi" w:hAnsiTheme="majorHAnsi" w:eastAsiaTheme="majorEastAsia" w:cstheme="majorBidi"/>
      <w:b/>
      <w:bCs/>
      <w:sz w:val="28"/>
      <w:szCs w:val="28"/>
    </w:rPr>
  </w:style>
  <w:style w:type="character" w:customStyle="1" w:styleId="26">
    <w:name w:val="标题 2 Char"/>
    <w:basedOn w:val="15"/>
    <w:link w:val="3"/>
    <w:uiPriority w:val="9"/>
    <w:rPr>
      <w:rFonts w:asciiTheme="majorHAnsi" w:hAnsiTheme="majorHAnsi" w:eastAsiaTheme="majorEastAsia" w:cstheme="majorBidi"/>
      <w:b/>
      <w:bCs/>
      <w:sz w:val="26"/>
      <w:szCs w:val="26"/>
    </w:rPr>
  </w:style>
  <w:style w:type="character" w:customStyle="1" w:styleId="27">
    <w:name w:val="标题 3 Char"/>
    <w:basedOn w:val="15"/>
    <w:link w:val="4"/>
    <w:uiPriority w:val="9"/>
    <w:rPr>
      <w:rFonts w:asciiTheme="majorHAnsi" w:hAnsiTheme="majorHAnsi" w:eastAsiaTheme="majorEastAsia" w:cstheme="majorBidi"/>
      <w:b/>
      <w:bCs/>
    </w:rPr>
  </w:style>
  <w:style w:type="character" w:customStyle="1" w:styleId="28">
    <w:name w:val="标题 4 Char"/>
    <w:basedOn w:val="15"/>
    <w:link w:val="5"/>
    <w:semiHidden/>
    <w:qFormat/>
    <w:uiPriority w:val="9"/>
    <w:rPr>
      <w:rFonts w:asciiTheme="majorHAnsi" w:hAnsiTheme="majorHAnsi" w:eastAsiaTheme="majorEastAsia" w:cstheme="majorBidi"/>
      <w:b/>
      <w:bCs/>
      <w:i/>
      <w:iCs/>
    </w:rPr>
  </w:style>
  <w:style w:type="character" w:customStyle="1" w:styleId="29">
    <w:name w:val="标题 5 Char"/>
    <w:basedOn w:val="15"/>
    <w:link w:val="6"/>
    <w:semiHidden/>
    <w:uiPriority w:val="9"/>
    <w:rPr>
      <w:rFonts w:asciiTheme="majorHAnsi" w:hAnsiTheme="majorHAnsi" w:eastAsiaTheme="majorEastAsia" w:cstheme="majorBidi"/>
      <w:b/>
      <w:bCs/>
      <w:color w:val="7E7E7E" w:themeColor="text1" w:themeTint="80"/>
    </w:rPr>
  </w:style>
  <w:style w:type="character" w:customStyle="1" w:styleId="30">
    <w:name w:val="标题 6 Char"/>
    <w:basedOn w:val="15"/>
    <w:link w:val="7"/>
    <w:semiHidden/>
    <w:uiPriority w:val="9"/>
    <w:rPr>
      <w:rFonts w:asciiTheme="majorHAnsi" w:hAnsiTheme="majorHAnsi" w:eastAsiaTheme="majorEastAsia" w:cstheme="majorBidi"/>
      <w:b/>
      <w:bCs/>
      <w:i/>
      <w:iCs/>
      <w:color w:val="7E7E7E" w:themeColor="text1" w:themeTint="80"/>
    </w:rPr>
  </w:style>
  <w:style w:type="character" w:customStyle="1" w:styleId="31">
    <w:name w:val="标题 7 Char"/>
    <w:basedOn w:val="15"/>
    <w:link w:val="8"/>
    <w:semiHidden/>
    <w:uiPriority w:val="9"/>
    <w:rPr>
      <w:rFonts w:asciiTheme="majorHAnsi" w:hAnsiTheme="majorHAnsi" w:eastAsiaTheme="majorEastAsia" w:cstheme="majorBidi"/>
      <w:i/>
      <w:iCs/>
    </w:rPr>
  </w:style>
  <w:style w:type="character" w:customStyle="1" w:styleId="32">
    <w:name w:val="标题 8 Char"/>
    <w:basedOn w:val="15"/>
    <w:link w:val="9"/>
    <w:semiHidden/>
    <w:uiPriority w:val="9"/>
    <w:rPr>
      <w:rFonts w:asciiTheme="majorHAnsi" w:hAnsiTheme="majorHAnsi" w:eastAsiaTheme="majorEastAsia" w:cstheme="majorBidi"/>
      <w:sz w:val="20"/>
      <w:szCs w:val="20"/>
    </w:rPr>
  </w:style>
  <w:style w:type="character" w:customStyle="1" w:styleId="33">
    <w:name w:val="标题 9 Char"/>
    <w:basedOn w:val="15"/>
    <w:link w:val="10"/>
    <w:semiHidden/>
    <w:uiPriority w:val="9"/>
    <w:rPr>
      <w:rFonts w:asciiTheme="majorHAnsi" w:hAnsiTheme="majorHAnsi" w:eastAsiaTheme="majorEastAsia" w:cstheme="majorBidi"/>
      <w:i/>
      <w:iCs/>
      <w:spacing w:val="5"/>
      <w:sz w:val="20"/>
      <w:szCs w:val="20"/>
    </w:rPr>
  </w:style>
  <w:style w:type="character" w:customStyle="1" w:styleId="34">
    <w:name w:val="副标题 Char"/>
    <w:basedOn w:val="15"/>
    <w:link w:val="13"/>
    <w:uiPriority w:val="11"/>
    <w:rPr>
      <w:rFonts w:asciiTheme="majorHAnsi" w:hAnsiTheme="majorHAnsi" w:eastAsiaTheme="majorEastAsia" w:cstheme="majorBidi"/>
      <w:i/>
      <w:iCs/>
      <w:spacing w:val="13"/>
      <w:sz w:val="24"/>
      <w:szCs w:val="24"/>
    </w:rPr>
  </w:style>
  <w:style w:type="paragraph" w:styleId="35">
    <w:name w:val="No Spacing"/>
    <w:basedOn w:val="1"/>
    <w:qFormat/>
    <w:uiPriority w:val="1"/>
    <w:pPr>
      <w:spacing w:after="0" w:line="240" w:lineRule="auto"/>
    </w:pPr>
  </w:style>
  <w:style w:type="paragraph" w:styleId="36">
    <w:name w:val="List Paragraph"/>
    <w:basedOn w:val="1"/>
    <w:qFormat/>
    <w:uiPriority w:val="34"/>
    <w:pPr>
      <w:ind w:left="720"/>
      <w:contextualSpacing/>
    </w:pPr>
  </w:style>
  <w:style w:type="paragraph" w:styleId="37">
    <w:name w:val="Quote"/>
    <w:basedOn w:val="1"/>
    <w:next w:val="1"/>
    <w:link w:val="38"/>
    <w:qFormat/>
    <w:uiPriority w:val="29"/>
    <w:pPr>
      <w:spacing w:before="200" w:after="0"/>
      <w:ind w:left="360" w:right="360"/>
    </w:pPr>
    <w:rPr>
      <w:i/>
      <w:iCs/>
    </w:rPr>
  </w:style>
  <w:style w:type="character" w:customStyle="1" w:styleId="38">
    <w:name w:val="引用 Char"/>
    <w:basedOn w:val="15"/>
    <w:link w:val="37"/>
    <w:qFormat/>
    <w:uiPriority w:val="29"/>
    <w:rPr>
      <w:i/>
      <w:iCs/>
    </w:rPr>
  </w:style>
  <w:style w:type="paragraph" w:styleId="39">
    <w:name w:val="Intense Quote"/>
    <w:basedOn w:val="1"/>
    <w:next w:val="1"/>
    <w:link w:val="40"/>
    <w:qFormat/>
    <w:uiPriority w:val="30"/>
    <w:pPr>
      <w:pBdr>
        <w:bottom w:val="single" w:color="auto" w:sz="4" w:space="1"/>
      </w:pBdr>
      <w:spacing w:before="200" w:after="280"/>
      <w:ind w:left="1008" w:right="1152"/>
      <w:jc w:val="both"/>
    </w:pPr>
    <w:rPr>
      <w:b/>
      <w:bCs/>
      <w:i/>
      <w:iCs/>
    </w:rPr>
  </w:style>
  <w:style w:type="character" w:customStyle="1" w:styleId="40">
    <w:name w:val="明显引用 Char"/>
    <w:basedOn w:val="15"/>
    <w:link w:val="39"/>
    <w:uiPriority w:val="30"/>
    <w:rPr>
      <w:b/>
      <w:bCs/>
      <w:i/>
      <w:iCs/>
    </w:rPr>
  </w:style>
  <w:style w:type="character" w:customStyle="1" w:styleId="41">
    <w:name w:val="Subtle Emphasis"/>
    <w:qFormat/>
    <w:uiPriority w:val="19"/>
    <w:rPr>
      <w:i/>
      <w:iCs/>
    </w:rPr>
  </w:style>
  <w:style w:type="character" w:customStyle="1" w:styleId="42">
    <w:name w:val="Intense Emphasis"/>
    <w:qFormat/>
    <w:uiPriority w:val="21"/>
    <w:rPr>
      <w:b/>
      <w:bCs/>
    </w:rPr>
  </w:style>
  <w:style w:type="character" w:customStyle="1" w:styleId="43">
    <w:name w:val="Subtle Reference"/>
    <w:qFormat/>
    <w:uiPriority w:val="31"/>
    <w:rPr>
      <w:smallCaps/>
    </w:rPr>
  </w:style>
  <w:style w:type="character" w:customStyle="1" w:styleId="44">
    <w:name w:val="Intense Reference"/>
    <w:qFormat/>
    <w:uiPriority w:val="32"/>
    <w:rPr>
      <w:smallCaps/>
      <w:spacing w:val="5"/>
      <w:u w:val="single"/>
    </w:rPr>
  </w:style>
  <w:style w:type="character" w:customStyle="1" w:styleId="45">
    <w:name w:val="Book Title"/>
    <w:qFormat/>
    <w:uiPriority w:val="33"/>
    <w:rPr>
      <w:i/>
      <w:iCs/>
      <w:smallCaps/>
      <w:spacing w:val="5"/>
    </w:rPr>
  </w:style>
  <w:style w:type="paragraph" w:customStyle="1" w:styleId="46">
    <w:name w:val="TOC Heading"/>
    <w:basedOn w:val="2"/>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1664</Words>
  <Characters>249</Characters>
  <Lines>2</Lines>
  <Paragraphs>3</Paragraphs>
  <TotalTime>0</TotalTime>
  <ScaleCrop>false</ScaleCrop>
  <LinksUpToDate>false</LinksUpToDate>
  <CharactersWithSpaces>1910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2018-05-22T02:26:00Z</cp:lastPrinted>
  <dcterms:modified xsi:type="dcterms:W3CDTF">2018-05-23T00:53:01Z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