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680" w:lineRule="exact"/>
        <w:ind w:right="0" w:rightChars="0"/>
        <w:jc w:val="left"/>
        <w:textAlignment w:val="auto"/>
        <w:rPr>
          <w:rFonts w:ascii="仿宋" w:hAnsi="仿宋" w:eastAsia="仿宋"/>
          <w:sz w:val="32"/>
          <w:szCs w:val="32"/>
        </w:rPr>
      </w:pPr>
      <w:r>
        <w:rPr>
          <w:rFonts w:hint="eastAsia" w:ascii="仿宋" w:hAnsi="仿宋" w:eastAsia="仿宋"/>
          <w:sz w:val="32"/>
          <w:szCs w:val="32"/>
        </w:rPr>
        <w:t>附件1</w:t>
      </w:r>
    </w:p>
    <w:p>
      <w:pPr>
        <w:keepNext w:val="0"/>
        <w:keepLines w:val="0"/>
        <w:pageBreakBefore w:val="0"/>
        <w:widowControl w:val="0"/>
        <w:kinsoku/>
        <w:wordWrap/>
        <w:overflowPunct/>
        <w:topLinePunct w:val="0"/>
        <w:bidi w:val="0"/>
        <w:snapToGrid/>
        <w:spacing w:line="680" w:lineRule="exact"/>
        <w:ind w:right="0" w:rightChars="0"/>
        <w:jc w:val="center"/>
        <w:textAlignment w:val="auto"/>
        <w:rPr>
          <w:rFonts w:ascii="仿宋" w:hAnsi="仿宋" w:eastAsia="仿宋"/>
          <w:sz w:val="32"/>
          <w:szCs w:val="32"/>
        </w:rPr>
      </w:pPr>
    </w:p>
    <w:p>
      <w:pPr>
        <w:keepNext w:val="0"/>
        <w:keepLines w:val="0"/>
        <w:pageBreakBefore w:val="0"/>
        <w:widowControl w:val="0"/>
        <w:kinsoku/>
        <w:wordWrap/>
        <w:overflowPunct/>
        <w:topLinePunct w:val="0"/>
        <w:bidi w:val="0"/>
        <w:snapToGrid/>
        <w:spacing w:line="680" w:lineRule="exact"/>
        <w:ind w:right="0" w:rightChars="0"/>
        <w:jc w:val="center"/>
        <w:textAlignment w:val="auto"/>
        <w:rPr>
          <w:rFonts w:hint="eastAsia" w:ascii="华文中宋" w:hAnsi="华文中宋" w:eastAsia="华文中宋"/>
          <w:sz w:val="44"/>
          <w:szCs w:val="44"/>
          <w:lang w:eastAsia="zh-CN"/>
        </w:rPr>
      </w:pPr>
      <w:r>
        <w:rPr>
          <w:rFonts w:hint="eastAsia" w:ascii="华文中宋" w:hAnsi="华文中宋" w:eastAsia="华文中宋"/>
          <w:sz w:val="44"/>
          <w:szCs w:val="44"/>
          <w:lang w:eastAsia="zh-CN"/>
        </w:rPr>
        <w:t>浮山县在外人员服务中心</w:t>
      </w:r>
    </w:p>
    <w:p>
      <w:pPr>
        <w:keepNext w:val="0"/>
        <w:keepLines w:val="0"/>
        <w:pageBreakBefore w:val="0"/>
        <w:widowControl w:val="0"/>
        <w:kinsoku/>
        <w:wordWrap/>
        <w:overflowPunct/>
        <w:topLinePunct w:val="0"/>
        <w:bidi w:val="0"/>
        <w:snapToGrid/>
        <w:spacing w:line="680" w:lineRule="exact"/>
        <w:ind w:right="0" w:rightChars="0"/>
        <w:jc w:val="center"/>
        <w:textAlignment w:val="auto"/>
        <w:rPr>
          <w:rFonts w:ascii="华文中宋" w:hAnsi="华文中宋" w:eastAsia="华文中宋"/>
          <w:sz w:val="44"/>
          <w:szCs w:val="44"/>
        </w:rPr>
      </w:pPr>
      <w:r>
        <w:rPr>
          <w:rFonts w:hint="eastAsia" w:ascii="华文中宋" w:hAnsi="华文中宋" w:eastAsia="华文中宋"/>
          <w:sz w:val="44"/>
          <w:szCs w:val="44"/>
        </w:rPr>
        <w:t>2017年度部门预算</w:t>
      </w:r>
    </w:p>
    <w:p>
      <w:pPr>
        <w:keepNext w:val="0"/>
        <w:keepLines w:val="0"/>
        <w:pageBreakBefore w:val="0"/>
        <w:widowControl w:val="0"/>
        <w:kinsoku/>
        <w:wordWrap/>
        <w:overflowPunct/>
        <w:topLinePunct w:val="0"/>
        <w:bidi w:val="0"/>
        <w:snapToGrid/>
        <w:spacing w:line="680" w:lineRule="exact"/>
        <w:ind w:right="0" w:rightChars="0"/>
        <w:jc w:val="center"/>
        <w:textAlignment w:val="auto"/>
        <w:rPr>
          <w:rFonts w:ascii="仿宋" w:hAnsi="仿宋" w:eastAsia="仿宋"/>
          <w:sz w:val="32"/>
          <w:szCs w:val="32"/>
        </w:rPr>
      </w:pPr>
    </w:p>
    <w:p>
      <w:pPr>
        <w:keepNext w:val="0"/>
        <w:keepLines w:val="0"/>
        <w:pageBreakBefore w:val="0"/>
        <w:widowControl w:val="0"/>
        <w:kinsoku/>
        <w:wordWrap/>
        <w:overflowPunct/>
        <w:topLinePunct w:val="0"/>
        <w:bidi w:val="0"/>
        <w:snapToGrid/>
        <w:spacing w:line="680" w:lineRule="exact"/>
        <w:ind w:right="0" w:rightChars="0"/>
        <w:textAlignment w:val="auto"/>
        <w:rPr>
          <w:rFonts w:ascii="黑体" w:hAnsi="黑体" w:eastAsia="黑体"/>
          <w:sz w:val="32"/>
          <w:szCs w:val="32"/>
        </w:rPr>
      </w:pPr>
      <w:r>
        <w:rPr>
          <w:rFonts w:hint="eastAsia" w:ascii="黑体" w:hAnsi="黑体" w:eastAsia="黑体"/>
          <w:sz w:val="32"/>
          <w:szCs w:val="32"/>
        </w:rPr>
        <w:t>第一部分  概况</w:t>
      </w:r>
    </w:p>
    <w:p>
      <w:pPr>
        <w:keepNext w:val="0"/>
        <w:keepLines w:val="0"/>
        <w:pageBreakBefore w:val="0"/>
        <w:widowControl w:val="0"/>
        <w:numPr>
          <w:ilvl w:val="0"/>
          <w:numId w:val="1"/>
        </w:numPr>
        <w:kinsoku/>
        <w:wordWrap/>
        <w:overflowPunct/>
        <w:topLinePunct w:val="0"/>
        <w:bidi w:val="0"/>
        <w:snapToGrid/>
        <w:spacing w:line="680" w:lineRule="exact"/>
        <w:ind w:right="0" w:rightChars="0" w:firstLine="640" w:firstLineChars="200"/>
        <w:textAlignment w:val="auto"/>
        <w:rPr>
          <w:rFonts w:hint="eastAsia" w:ascii="楷体" w:hAnsi="楷体" w:eastAsia="楷体"/>
          <w:sz w:val="32"/>
          <w:szCs w:val="32"/>
        </w:rPr>
      </w:pPr>
      <w:r>
        <w:rPr>
          <w:rFonts w:hint="eastAsia" w:ascii="楷体" w:hAnsi="楷体" w:eastAsia="楷体"/>
          <w:sz w:val="32"/>
          <w:szCs w:val="32"/>
        </w:rPr>
        <w:t>本部门职责</w:t>
      </w:r>
    </w:p>
    <w:p>
      <w:pPr>
        <w:keepNext w:val="0"/>
        <w:keepLines w:val="0"/>
        <w:pageBreakBefore w:val="0"/>
        <w:widowControl w:val="0"/>
        <w:numPr>
          <w:ilvl w:val="0"/>
          <w:numId w:val="0"/>
        </w:numPr>
        <w:kinsoku/>
        <w:wordWrap/>
        <w:overflowPunct/>
        <w:topLinePunct w:val="0"/>
        <w:autoSpaceDE/>
        <w:autoSpaceDN/>
        <w:bidi w:val="0"/>
        <w:adjustRightInd/>
        <w:snapToGrid/>
        <w:spacing w:line="6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搜集与浮山发展有关的政策信息，联络、服务所有在外人员，为他们提供法律援助、困难救助、创业就业、信息咨询、学习交流、</w:t>
      </w:r>
      <w:r>
        <w:rPr>
          <w:rFonts w:hint="eastAsia" w:ascii="仿宋_GB2312" w:hAnsi="仿宋_GB2312" w:eastAsia="仿宋_GB2312" w:cs="仿宋_GB2312"/>
          <w:sz w:val="32"/>
          <w:szCs w:val="32"/>
        </w:rPr>
        <w:t>业务培训和乡情联谊等方面的服务</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为招商引资提供相关信息，宣传推介浮山餐饮等特色品牌</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bidi w:val="0"/>
        <w:snapToGrid/>
        <w:spacing w:line="680" w:lineRule="exact"/>
        <w:ind w:right="0" w:rightChars="0" w:firstLine="640" w:firstLineChars="200"/>
        <w:textAlignment w:val="auto"/>
        <w:rPr>
          <w:rFonts w:hint="eastAsia" w:ascii="楷体" w:hAnsi="楷体" w:eastAsia="楷体"/>
          <w:sz w:val="32"/>
          <w:szCs w:val="32"/>
        </w:rPr>
      </w:pPr>
      <w:r>
        <w:rPr>
          <w:rFonts w:hint="eastAsia" w:ascii="楷体" w:hAnsi="楷体" w:eastAsia="楷体"/>
          <w:sz w:val="32"/>
          <w:szCs w:val="32"/>
        </w:rPr>
        <w:t>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line="6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浮山县在外人员服务中心，于2013年6月成立，</w:t>
      </w:r>
      <w:r>
        <w:rPr>
          <w:rFonts w:hint="eastAsia" w:ascii="仿宋_GB2312" w:hAnsi="仿宋_GB2312" w:eastAsia="仿宋_GB2312" w:cs="仿宋_GB2312"/>
          <w:sz w:val="32"/>
          <w:szCs w:val="32"/>
          <w:lang w:val="en-US" w:eastAsia="zh-CN"/>
        </w:rPr>
        <w:t>正科级事业单位，隶属政府办管理；结合工作实际，核定财政拨款事业编制9名,</w:t>
      </w:r>
      <w:r>
        <w:rPr>
          <w:rFonts w:hint="eastAsia" w:ascii="仿宋_GB2312" w:hAnsi="仿宋_GB2312" w:eastAsia="仿宋_GB2312" w:cs="仿宋_GB2312"/>
          <w:sz w:val="32"/>
          <w:szCs w:val="32"/>
          <w:lang w:eastAsia="zh-CN"/>
        </w:rPr>
        <w:t>现有正式工作人员5人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主任</w:t>
      </w:r>
      <w:r>
        <w:rPr>
          <w:rFonts w:hint="eastAsia" w:ascii="仿宋_GB2312" w:hAnsi="仿宋_GB2312" w:eastAsia="仿宋_GB2312" w:cs="仿宋_GB2312"/>
          <w:sz w:val="32"/>
          <w:szCs w:val="32"/>
          <w:lang w:val="en-US" w:eastAsia="zh-CN"/>
        </w:rPr>
        <w:t>1人</w:t>
      </w:r>
      <w:r>
        <w:rPr>
          <w:rFonts w:hint="eastAsia" w:ascii="仿宋_GB2312" w:hAnsi="仿宋_GB2312" w:eastAsia="仿宋_GB2312" w:cs="仿宋_GB2312"/>
          <w:sz w:val="32"/>
          <w:szCs w:val="32"/>
          <w:lang w:eastAsia="zh-CN"/>
        </w:rPr>
        <w:t>、纪检组长</w:t>
      </w:r>
      <w:r>
        <w:rPr>
          <w:rFonts w:hint="eastAsia" w:ascii="仿宋_GB2312" w:hAnsi="仿宋_GB2312" w:eastAsia="仿宋_GB2312" w:cs="仿宋_GB2312"/>
          <w:sz w:val="32"/>
          <w:szCs w:val="32"/>
          <w:lang w:val="en-US" w:eastAsia="zh-CN"/>
        </w:rPr>
        <w:t>1人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680" w:lineRule="exact"/>
        <w:ind w:right="0" w:rightChars="0"/>
        <w:textAlignment w:val="auto"/>
        <w:rPr>
          <w:rFonts w:ascii="黑体" w:hAnsi="黑体" w:eastAsia="黑体"/>
          <w:sz w:val="32"/>
          <w:szCs w:val="32"/>
        </w:rPr>
      </w:pPr>
      <w:r>
        <w:rPr>
          <w:rFonts w:hint="eastAsia" w:ascii="黑体" w:hAnsi="黑体" w:eastAsia="黑体"/>
          <w:sz w:val="32"/>
          <w:szCs w:val="32"/>
        </w:rPr>
        <w:t>第二部分  2017年度部门预算报表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一、XX部门2017年预算收支总表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二、XX部门2017年预算收入总表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三、XX部门2017年预算支出总表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四、XX部门2017年财政拨款收支总表</w:t>
      </w:r>
    </w:p>
    <w:p>
      <w:pPr>
        <w:keepNext w:val="0"/>
        <w:keepLines w:val="0"/>
        <w:pageBreakBefore w:val="0"/>
        <w:widowControl w:val="0"/>
        <w:kinsoku/>
        <w:wordWrap/>
        <w:overflowPunct/>
        <w:topLinePunct w:val="0"/>
        <w:bidi w:val="0"/>
        <w:snapToGrid/>
        <w:spacing w:line="680" w:lineRule="exact"/>
        <w:ind w:left="1438" w:leftChars="304" w:right="0" w:rightChars="0" w:hanging="800" w:hangingChars="250"/>
        <w:textAlignment w:val="auto"/>
        <w:rPr>
          <w:rFonts w:ascii="楷体" w:hAnsi="楷体" w:eastAsia="楷体"/>
          <w:sz w:val="32"/>
          <w:szCs w:val="32"/>
        </w:rPr>
      </w:pPr>
      <w:r>
        <w:rPr>
          <w:rFonts w:hint="eastAsia" w:ascii="楷体" w:hAnsi="楷体" w:eastAsia="楷体"/>
          <w:sz w:val="32"/>
          <w:szCs w:val="32"/>
        </w:rPr>
        <w:t>五、XX部门2017年一般公共预算支出预算表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六、XX部门2017年一般公共预算安排基本支出分经济科目表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七、XX部门2017年政府性基金预算收入预算表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八、XX部门2017年政府性基金预算支出预算表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九、XX部门2017年“三公”经费预算财政拨款情况统计表</w:t>
      </w:r>
    </w:p>
    <w:p>
      <w:pPr>
        <w:keepNext w:val="0"/>
        <w:keepLines w:val="0"/>
        <w:pageBreakBefore w:val="0"/>
        <w:widowControl w:val="0"/>
        <w:kinsoku/>
        <w:wordWrap/>
        <w:overflowPunct/>
        <w:topLinePunct w:val="0"/>
        <w:bidi w:val="0"/>
        <w:snapToGrid/>
        <w:spacing w:line="680" w:lineRule="exact"/>
        <w:ind w:right="0" w:rightChars="0" w:firstLine="640" w:firstLineChars="200"/>
        <w:textAlignment w:val="auto"/>
        <w:rPr>
          <w:rFonts w:ascii="楷体" w:hAnsi="楷体" w:eastAsia="楷体"/>
          <w:sz w:val="32"/>
          <w:szCs w:val="32"/>
        </w:rPr>
      </w:pPr>
      <w:r>
        <w:rPr>
          <w:rFonts w:hint="eastAsia" w:ascii="楷体" w:hAnsi="楷体" w:eastAsia="楷体"/>
          <w:sz w:val="32"/>
          <w:szCs w:val="32"/>
        </w:rPr>
        <w:t>十、XX部门2017年机关运行经费预算财政拨款情况统计表</w:t>
      </w:r>
      <w:bookmarkStart w:id="0" w:name="_GoBack"/>
      <w:bookmarkEnd w:id="0"/>
    </w:p>
    <w:p>
      <w:pPr>
        <w:keepNext w:val="0"/>
        <w:keepLines w:val="0"/>
        <w:pageBreakBefore w:val="0"/>
        <w:widowControl w:val="0"/>
        <w:kinsoku/>
        <w:wordWrap/>
        <w:overflowPunct/>
        <w:topLinePunct w:val="0"/>
        <w:bidi w:val="0"/>
        <w:snapToGrid/>
        <w:spacing w:line="680" w:lineRule="exact"/>
        <w:ind w:right="0" w:rightChars="0"/>
        <w:textAlignment w:val="auto"/>
        <w:rPr>
          <w:rFonts w:ascii="黑体" w:hAnsi="黑体" w:eastAsia="黑体"/>
          <w:sz w:val="32"/>
          <w:szCs w:val="32"/>
        </w:rPr>
      </w:pPr>
      <w:r>
        <w:rPr>
          <w:rFonts w:hint="eastAsia" w:ascii="黑体" w:hAnsi="黑体" w:eastAsia="黑体"/>
          <w:sz w:val="32"/>
          <w:szCs w:val="32"/>
        </w:rPr>
        <w:t>第三部分  2017年度部门预算情况说明</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楷体" w:hAnsi="楷体" w:eastAsia="楷体"/>
          <w:sz w:val="32"/>
          <w:szCs w:val="32"/>
        </w:rPr>
      </w:pPr>
      <w:r>
        <w:rPr>
          <w:rFonts w:hint="eastAsia" w:ascii="楷体" w:hAnsi="楷体" w:eastAsia="楷体"/>
          <w:sz w:val="32"/>
          <w:szCs w:val="32"/>
        </w:rPr>
        <w:t>一、2017年度部门预算数据变动情况及原因</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楷体" w:hAnsi="楷体" w:eastAsia="楷体"/>
          <w:sz w:val="32"/>
          <w:szCs w:val="32"/>
          <w:lang w:val="en-US" w:eastAsia="zh-CN"/>
        </w:rPr>
      </w:pPr>
      <w:r>
        <w:rPr>
          <w:rFonts w:hint="eastAsia" w:ascii="仿宋_GB2312" w:hAnsi="仿宋_GB2312" w:eastAsia="仿宋_GB2312" w:cs="仿宋_GB2312"/>
          <w:sz w:val="32"/>
          <w:szCs w:val="32"/>
          <w:lang w:val="en-US" w:eastAsia="zh-CN"/>
        </w:rPr>
        <w:t>浮山县在外人员服务中心2017年预算42.0906万元，比2016年51.0481万元减少8.9575万元，原因是中心在北京、太原、临汾的工作站现已全部撤回，工作站的费用减少。</w:t>
      </w:r>
    </w:p>
    <w:p>
      <w:pPr>
        <w:keepNext w:val="0"/>
        <w:keepLines w:val="0"/>
        <w:pageBreakBefore w:val="0"/>
        <w:widowControl w:val="0"/>
        <w:numPr>
          <w:ilvl w:val="0"/>
          <w:numId w:val="2"/>
        </w:numPr>
        <w:kinsoku/>
        <w:wordWrap/>
        <w:overflowPunct/>
        <w:topLinePunct w:val="0"/>
        <w:bidi w:val="0"/>
        <w:snapToGrid/>
        <w:spacing w:line="680" w:lineRule="exact"/>
        <w:ind w:right="0" w:rightChars="0" w:firstLine="636"/>
        <w:textAlignment w:val="auto"/>
        <w:rPr>
          <w:rFonts w:hint="eastAsia" w:ascii="楷体" w:hAnsi="楷体" w:eastAsia="楷体"/>
          <w:sz w:val="32"/>
          <w:szCs w:val="32"/>
        </w:rPr>
      </w:pPr>
      <w:r>
        <w:rPr>
          <w:rFonts w:hint="eastAsia" w:ascii="楷体" w:hAnsi="楷体" w:eastAsia="楷体"/>
          <w:sz w:val="32"/>
          <w:szCs w:val="32"/>
        </w:rPr>
        <w:t>“三公”经费增减变动原因说明</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2016年本单位三公经费预算0元，今年三公经费预算0元。</w:t>
      </w:r>
    </w:p>
    <w:p>
      <w:pPr>
        <w:keepNext w:val="0"/>
        <w:keepLines w:val="0"/>
        <w:pageBreakBefore w:val="0"/>
        <w:widowControl w:val="0"/>
        <w:numPr>
          <w:ilvl w:val="0"/>
          <w:numId w:val="2"/>
        </w:numPr>
        <w:kinsoku/>
        <w:wordWrap/>
        <w:overflowPunct/>
        <w:topLinePunct w:val="0"/>
        <w:bidi w:val="0"/>
        <w:snapToGrid/>
        <w:spacing w:line="680" w:lineRule="exact"/>
        <w:ind w:right="0" w:rightChars="0" w:firstLine="636" w:firstLineChars="0"/>
        <w:textAlignment w:val="auto"/>
        <w:rPr>
          <w:rFonts w:hint="eastAsia" w:ascii="楷体" w:hAnsi="楷体" w:eastAsia="楷体"/>
          <w:sz w:val="32"/>
          <w:szCs w:val="32"/>
        </w:rPr>
      </w:pPr>
      <w:r>
        <w:rPr>
          <w:rFonts w:hint="eastAsia" w:ascii="楷体" w:hAnsi="楷体" w:eastAsia="楷体"/>
          <w:sz w:val="32"/>
          <w:szCs w:val="32"/>
        </w:rPr>
        <w:t>机关运行经费增减变动原因说明</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楷体" w:hAnsi="楷体" w:eastAsia="楷体"/>
          <w:sz w:val="32"/>
          <w:szCs w:val="32"/>
          <w:lang w:val="en-US" w:eastAsia="zh-CN"/>
        </w:rPr>
      </w:pPr>
      <w:r>
        <w:rPr>
          <w:rFonts w:hint="eastAsia" w:ascii="仿宋_GB2312" w:hAnsi="仿宋_GB2312" w:eastAsia="仿宋_GB2312" w:cs="仿宋_GB2312"/>
          <w:sz w:val="32"/>
          <w:szCs w:val="32"/>
          <w:lang w:val="en-US" w:eastAsia="zh-CN"/>
        </w:rPr>
        <w:t>浮山县在外人员服务中心2017年预算4.88万元，比2016年12.88万元减少8万元，原因是中心在北京、太原、临汾的工作站现已全部撤回，工作站的费用减少。</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楷体" w:hAnsi="楷体" w:eastAsia="楷体"/>
          <w:sz w:val="32"/>
          <w:szCs w:val="32"/>
        </w:rPr>
      </w:pPr>
      <w:r>
        <w:rPr>
          <w:rFonts w:hint="eastAsia" w:ascii="楷体" w:hAnsi="楷体" w:eastAsia="楷体"/>
          <w:sz w:val="32"/>
          <w:szCs w:val="32"/>
        </w:rPr>
        <w:t>四、其他说明（参考模板，各单位可根据本单位实际情况进行修改和完善）</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（一）政府采购情况</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2017年中心政府采购预算总额2万元，全部为政府采购货物预算。</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（二）政府购买服务指导性目录</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（三）国有资产占有使用情况</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1.车辆情况</w:t>
      </w:r>
      <w:r>
        <w:rPr>
          <w:rFonts w:hint="eastAsia" w:ascii="仿宋" w:hAnsi="仿宋" w:eastAsia="仿宋"/>
          <w:sz w:val="32"/>
          <w:szCs w:val="32"/>
          <w:lang w:eastAsia="zh-CN"/>
        </w:rPr>
        <w:t>：无</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2.房屋情况</w:t>
      </w:r>
      <w:r>
        <w:rPr>
          <w:rFonts w:hint="eastAsia" w:ascii="仿宋" w:hAnsi="仿宋" w:eastAsia="仿宋"/>
          <w:sz w:val="32"/>
          <w:szCs w:val="32"/>
          <w:lang w:eastAsia="zh-CN"/>
        </w:rPr>
        <w:t>：无</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3.其他国有资产占有使用情况。</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（四）绩效管理情况</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2017年部门实行绩效目标管理的项目1个，涉及一般公共预算当年拨款0万元。</w:t>
      </w:r>
    </w:p>
    <w:p>
      <w:pPr>
        <w:keepNext w:val="0"/>
        <w:keepLines w:val="0"/>
        <w:pageBreakBefore w:val="0"/>
        <w:widowControl w:val="0"/>
        <w:kinsoku/>
        <w:wordWrap/>
        <w:overflowPunct/>
        <w:topLinePunct w:val="0"/>
        <w:bidi w:val="0"/>
        <w:snapToGrid/>
        <w:spacing w:line="680" w:lineRule="exact"/>
        <w:ind w:right="0" w:rightChars="0" w:firstLine="636"/>
        <w:textAlignment w:val="auto"/>
        <w:rPr>
          <w:rFonts w:ascii="仿宋" w:hAnsi="仿宋" w:eastAsia="仿宋"/>
          <w:sz w:val="32"/>
          <w:szCs w:val="32"/>
        </w:rPr>
      </w:pPr>
      <w:r>
        <w:rPr>
          <w:rFonts w:hint="eastAsia" w:ascii="仿宋" w:hAnsi="仿宋" w:eastAsia="仿宋"/>
          <w:sz w:val="32"/>
          <w:szCs w:val="32"/>
        </w:rPr>
        <w:t>（五） 其他</w:t>
      </w:r>
    </w:p>
    <w:p>
      <w:pPr>
        <w:keepNext w:val="0"/>
        <w:keepLines w:val="0"/>
        <w:pageBreakBefore w:val="0"/>
        <w:widowControl w:val="0"/>
        <w:kinsoku/>
        <w:wordWrap/>
        <w:overflowPunct/>
        <w:topLinePunct w:val="0"/>
        <w:bidi w:val="0"/>
        <w:snapToGrid/>
        <w:spacing w:line="680" w:lineRule="exact"/>
        <w:ind w:right="0" w:rightChars="0"/>
        <w:textAlignment w:val="auto"/>
        <w:rPr>
          <w:rFonts w:ascii="黑体" w:hAnsi="黑体" w:eastAsia="黑体"/>
          <w:sz w:val="32"/>
          <w:szCs w:val="32"/>
        </w:rPr>
      </w:pPr>
      <w:r>
        <w:rPr>
          <w:rFonts w:hint="eastAsia" w:ascii="黑体" w:hAnsi="黑体" w:eastAsia="黑体"/>
          <w:sz w:val="32"/>
          <w:szCs w:val="32"/>
        </w:rPr>
        <w:t>第四部分  名词解释</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rPr>
          <w:rFonts w:ascii="仿宋" w:hAnsi="仿宋" w:eastAsia="仿宋"/>
          <w:sz w:val="32"/>
          <w:szCs w:val="32"/>
        </w:rPr>
      </w:pPr>
      <w:r>
        <w:rPr>
          <w:rFonts w:hint="eastAsia" w:ascii="楷体" w:hAnsi="楷体" w:eastAsia="楷体"/>
          <w:sz w:val="32"/>
          <w:szCs w:val="32"/>
        </w:rPr>
        <w:t>（一）基本支出</w:t>
      </w:r>
      <w:r>
        <w:rPr>
          <w:rFonts w:hint="eastAsia" w:ascii="仿宋" w:hAnsi="仿宋" w:eastAsia="仿宋"/>
          <w:sz w:val="32"/>
          <w:szCs w:val="32"/>
        </w:rPr>
        <w:t>：指为保障机构正常运转、完成日常</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textAlignment w:val="auto"/>
        <w:rPr>
          <w:rFonts w:ascii="仿宋" w:hAnsi="仿宋" w:eastAsia="仿宋"/>
          <w:sz w:val="32"/>
          <w:szCs w:val="32"/>
        </w:rPr>
      </w:pPr>
      <w:r>
        <w:rPr>
          <w:rFonts w:hint="eastAsia" w:ascii="仿宋" w:hAnsi="仿宋" w:eastAsia="仿宋"/>
          <w:sz w:val="32"/>
          <w:szCs w:val="32"/>
        </w:rPr>
        <w:t>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rPr>
          <w:rFonts w:ascii="仿宋" w:hAnsi="仿宋" w:eastAsia="仿宋"/>
          <w:sz w:val="32"/>
          <w:szCs w:val="32"/>
        </w:rPr>
      </w:pPr>
      <w:r>
        <w:rPr>
          <w:rFonts w:hint="eastAsia" w:ascii="楷体" w:hAnsi="楷体" w:eastAsia="楷体"/>
          <w:sz w:val="32"/>
          <w:szCs w:val="32"/>
        </w:rPr>
        <w:t>（二）项目支出</w:t>
      </w:r>
      <w:r>
        <w:rPr>
          <w:rFonts w:hint="eastAsia" w:ascii="仿宋" w:hAnsi="仿宋" w:eastAsia="仿宋"/>
          <w:sz w:val="32"/>
          <w:szCs w:val="32"/>
        </w:rPr>
        <w:t>：指在基本支出之外为完成特定行政任</w:t>
      </w:r>
    </w:p>
    <w:p>
      <w:pPr>
        <w:keepNext w:val="0"/>
        <w:keepLines w:val="0"/>
        <w:pageBreakBefore w:val="0"/>
        <w:widowControl w:val="0"/>
        <w:kinsoku/>
        <w:wordWrap/>
        <w:overflowPunct/>
        <w:topLinePunct w:val="0"/>
        <w:bidi w:val="0"/>
        <w:snapToGrid/>
        <w:spacing w:line="680" w:lineRule="exact"/>
        <w:ind w:right="0" w:rightChars="0"/>
        <w:textAlignment w:val="auto"/>
        <w:rPr>
          <w:rFonts w:ascii="仿宋" w:hAnsi="仿宋" w:eastAsia="仿宋"/>
          <w:sz w:val="32"/>
          <w:szCs w:val="32"/>
        </w:rPr>
      </w:pPr>
      <w:r>
        <w:rPr>
          <w:rFonts w:hint="eastAsia" w:ascii="仿宋" w:hAnsi="仿宋" w:eastAsia="仿宋"/>
          <w:sz w:val="32"/>
          <w:szCs w:val="32"/>
        </w:rPr>
        <w:t>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rPr>
          <w:rFonts w:ascii="仿宋" w:hAnsi="仿宋" w:eastAsia="仿宋"/>
          <w:sz w:val="32"/>
          <w:szCs w:val="32"/>
        </w:rPr>
      </w:pPr>
      <w:r>
        <w:rPr>
          <w:rFonts w:hint="eastAsia" w:ascii="楷体" w:hAnsi="楷体" w:eastAsia="楷体"/>
          <w:sz w:val="32"/>
          <w:szCs w:val="32"/>
        </w:rPr>
        <w:t>（三）“三公”经费</w:t>
      </w:r>
      <w:r>
        <w:rPr>
          <w:rFonts w:hint="eastAsia" w:ascii="仿宋" w:hAnsi="仿宋" w:eastAsia="仿宋"/>
          <w:sz w:val="32"/>
          <w:szCs w:val="32"/>
        </w:rPr>
        <w:t>：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val="0"/>
        <w:autoSpaceDN w:val="0"/>
        <w:bidi w:val="0"/>
        <w:adjustRightInd w:val="0"/>
        <w:snapToGrid/>
        <w:spacing w:line="680" w:lineRule="exact"/>
        <w:ind w:right="0" w:rightChars="0" w:firstLine="640" w:firstLineChars="200"/>
        <w:textAlignment w:val="auto"/>
      </w:pPr>
      <w:r>
        <w:rPr>
          <w:rFonts w:hint="eastAsia" w:ascii="楷体" w:hAnsi="楷体" w:eastAsia="楷体"/>
          <w:sz w:val="32"/>
          <w:szCs w:val="32"/>
        </w:rPr>
        <w:t>（四）机关运行经费</w:t>
      </w:r>
      <w:r>
        <w:rPr>
          <w:rFonts w:hint="eastAsia" w:ascii="仿宋" w:hAnsi="仿宋" w:eastAsia="仿宋"/>
          <w:sz w:val="32"/>
          <w:szCs w:val="32"/>
        </w:rPr>
        <w:t>：指行政单位和参照公务员法管理的事业单位使用一般公共预算安排的基本支出中的日常公用经费支出。</w:t>
      </w:r>
    </w:p>
    <w:sectPr>
      <w:footerReference r:id="rId3" w:type="default"/>
      <w:footerReference r:id="rId4" w:type="even"/>
      <w:pgSz w:w="11906" w:h="16838"/>
      <w:pgMar w:top="1440" w:right="1689" w:bottom="1327"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仿宋">
    <w:altName w:val="仿宋_GB2312"/>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Tahoma">
    <w:panose1 w:val="020B0604030504040204"/>
    <w:charset w:val="00"/>
    <w:family w:val="auto"/>
    <w:pitch w:val="default"/>
    <w:sig w:usb0="61007A87" w:usb1="80000000" w:usb2="00000008" w:usb3="00000000" w:csb0="200101FF" w:csb1="20280000"/>
  </w:font>
  <w:font w:name="微软雅黑">
    <w:altName w:val="黑体"/>
    <w:panose1 w:val="020B0503020204020204"/>
    <w:charset w:val="86"/>
    <w:family w:val="auto"/>
    <w:pitch w:val="default"/>
    <w:sig w:usb0="00000000" w:usb1="00000000" w:usb2="00000016" w:usb3="00000000" w:csb0="0004001F" w:csb1="00000000"/>
  </w:font>
  <w:font w:name="MT Extra">
    <w:panose1 w:val="05050102010205020202"/>
    <w:charset w:val="02"/>
    <w:family w:val="auto"/>
    <w:pitch w:val="default"/>
    <w:sig w:usb0="80000000" w:usb1="00000000" w:usb2="00000000" w:usb3="00000000" w:csb0="00000000" w:csb1="00000000"/>
  </w:font>
  <w:font w:name="Century Gothic">
    <w:altName w:val="Trebuchet MS"/>
    <w:panose1 w:val="020B0502020202020204"/>
    <w:charset w:val="00"/>
    <w:family w:val="auto"/>
    <w:pitch w:val="default"/>
    <w:sig w:usb0="00000000" w:usb1="00000000" w:usb2="00000000" w:usb3="00000000" w:csb0="2000009F" w:csb1="DFD70000"/>
  </w:font>
  <w:font w:name="Segoe Print">
    <w:altName w:val="Verdana"/>
    <w:panose1 w:val="02000600000000000000"/>
    <w:charset w:val="00"/>
    <w:family w:val="auto"/>
    <w:pitch w:val="default"/>
    <w:sig w:usb0="00000000"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rPr>
        <w:rStyle w:val="4"/>
      </w:rPr>
      <w:t>3</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73230"/>
    <w:multiLevelType w:val="singleLevel"/>
    <w:tmpl w:val="58F73230"/>
    <w:lvl w:ilvl="0" w:tentative="0">
      <w:start w:val="1"/>
      <w:numFmt w:val="chineseCounting"/>
      <w:suff w:val="nothing"/>
      <w:lvlText w:val="%1、"/>
      <w:lvlJc w:val="left"/>
    </w:lvl>
  </w:abstractNum>
  <w:abstractNum w:abstractNumId="1">
    <w:nsid w:val="58F7362C"/>
    <w:multiLevelType w:val="singleLevel"/>
    <w:tmpl w:val="58F7362C"/>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D17D11"/>
    <w:rsid w:val="017015DF"/>
    <w:rsid w:val="1A724833"/>
    <w:rsid w:val="20764164"/>
    <w:rsid w:val="2A434CB5"/>
    <w:rsid w:val="30444FB2"/>
    <w:rsid w:val="390126D4"/>
    <w:rsid w:val="49A16AFA"/>
    <w:rsid w:val="71D17D11"/>
    <w:rsid w:val="753F4BA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2017-04-19T09:35:00Z</dcterms:created>
  <dc:creator>Administrator</dc:creator>
  <cp:lastModifiedBy>Administrator</cp:lastModifiedBy>
  <dcterms:modified xsi:type="dcterms:W3CDTF">2017-04-20T08:17:24Z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