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住建</w:t>
      </w:r>
      <w:r>
        <w:rPr>
          <w:rFonts w:hint="eastAsia" w:ascii="方正小标宋简体" w:hAnsi="华文中宋" w:eastAsia="方正小标宋简体"/>
          <w:kern w:val="0"/>
          <w:sz w:val="44"/>
          <w:szCs w:val="44"/>
        </w:rPr>
        <w:t>局2018年度部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numPr>
          <w:ilvl w:val="0"/>
          <w:numId w:val="1"/>
        </w:numPr>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 xml:space="preserve"> 概况</w:t>
      </w:r>
    </w:p>
    <w:p>
      <w:pPr>
        <w:widowControl/>
        <w:numPr>
          <w:ilvl w:val="0"/>
          <w:numId w:val="0"/>
        </w:numPr>
        <w:spacing w:line="560" w:lineRule="exact"/>
        <w:jc w:val="both"/>
        <w:rPr>
          <w:rFonts w:hint="eastAsia" w:ascii="黑体" w:hAnsi="Times New Roman" w:eastAsia="黑体"/>
          <w:kern w:val="0"/>
          <w:sz w:val="32"/>
          <w:szCs w:val="32"/>
        </w:rPr>
      </w:pP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keepNext w:val="0"/>
        <w:keepLines w:val="0"/>
        <w:pageBreakBefore w:val="0"/>
        <w:widowControl w:val="0"/>
        <w:kinsoku/>
        <w:wordWrap/>
        <w:overflowPunct/>
        <w:topLinePunct w:val="0"/>
        <w:autoSpaceDE/>
        <w:autoSpaceDN/>
        <w:bidi w:val="0"/>
        <w:adjustRightInd/>
        <w:snapToGrid w:val="0"/>
        <w:spacing w:line="580" w:lineRule="exact"/>
        <w:ind w:left="0" w:leftChars="0" w:right="0" w:rightChars="0" w:firstLine="560"/>
        <w:jc w:val="both"/>
        <w:textAlignment w:val="auto"/>
        <w:rPr>
          <w:rFonts w:hint="eastAsia" w:ascii="仿宋_GB2312" w:hAnsi="楷体" w:eastAsia="仿宋_GB2312"/>
          <w:kern w:val="0"/>
          <w:sz w:val="32"/>
          <w:szCs w:val="32"/>
        </w:rPr>
      </w:pPr>
      <w:r>
        <w:rPr>
          <w:rFonts w:hint="eastAsia" w:ascii="仿宋" w:hAnsi="仿宋" w:eastAsia="仿宋" w:cs="仿宋"/>
          <w:sz w:val="32"/>
          <w:szCs w:val="32"/>
        </w:rPr>
        <w:t>单位主要职责和业务范围：主要负责贯彻执行国家和省、市关于城乡规划、住房和城乡建设、城市管理、市容环境卫生、市政设施、城市供水排水、节约用水、河道管理及城市综合执法等方面的法律法规和方针、政策，拟定城乡规划、住房和城乡建设、城市管理等方面的发展战略、中长期规划、年度规划、产业政策并指导实施；研究有关方面的重大问题，并提出政策建议；负责住房和城乡建设行业管理，指导和协调乡、镇住房建设。监督和管理县城规划、县城建筑、市容市貌、环境卫生、园林绿化、市政公用设施；制止和纠正城市建设管理中违法行为。</w:t>
      </w:r>
    </w:p>
    <w:p>
      <w:pPr>
        <w:widowControl/>
        <w:numPr>
          <w:ilvl w:val="0"/>
          <w:numId w:val="2"/>
        </w:numPr>
        <w:spacing w:line="560" w:lineRule="exact"/>
        <w:ind w:firstLine="640"/>
        <w:rPr>
          <w:rFonts w:hint="eastAsia" w:ascii="仿宋_GB2312" w:hAnsi="仿宋_GB2312" w:eastAsia="仿宋_GB2312" w:cs="仿宋_GB2312"/>
          <w:sz w:val="32"/>
          <w:lang w:val="en-US" w:eastAsia="zh-CN"/>
        </w:rPr>
      </w:pPr>
      <w:r>
        <w:rPr>
          <w:rFonts w:hint="eastAsia" w:ascii="仿宋_GB2312" w:hAnsi="楷体" w:eastAsia="仿宋_GB2312"/>
          <w:kern w:val="0"/>
          <w:sz w:val="32"/>
          <w:szCs w:val="32"/>
        </w:rPr>
        <w:t>机构设置情况</w:t>
      </w:r>
    </w:p>
    <w:p>
      <w:pPr>
        <w:keepNext w:val="0"/>
        <w:keepLines w:val="0"/>
        <w:pageBreakBefore w:val="0"/>
        <w:widowControl w:val="0"/>
        <w:kinsoku/>
        <w:wordWrap/>
        <w:overflowPunct/>
        <w:topLinePunct w:val="0"/>
        <w:autoSpaceDE/>
        <w:autoSpaceDN/>
        <w:bidi w:val="0"/>
        <w:adjustRightInd/>
        <w:snapToGrid/>
        <w:spacing w:line="586" w:lineRule="atLeast"/>
        <w:ind w:firstLine="640" w:firstLineChars="200"/>
        <w:textAlignment w:val="auto"/>
        <w:outlineLvl w:val="9"/>
        <w:rPr>
          <w:rFonts w:hint="eastAsia" w:ascii="仿宋_GB2312" w:hAnsi="楷体" w:eastAsia="仿宋_GB2312"/>
          <w:kern w:val="0"/>
          <w:sz w:val="32"/>
          <w:szCs w:val="32"/>
        </w:rPr>
      </w:pPr>
      <w:r>
        <w:rPr>
          <w:rFonts w:hint="eastAsia" w:ascii="仿宋" w:hAnsi="仿宋" w:eastAsia="仿宋" w:cs="仿宋"/>
          <w:sz w:val="32"/>
          <w:szCs w:val="32"/>
        </w:rPr>
        <w:t>浮山县住房保障和城乡建设管理局是浮山县</w:t>
      </w:r>
      <w:r>
        <w:rPr>
          <w:rFonts w:hint="eastAsia" w:ascii="仿宋" w:hAnsi="仿宋" w:eastAsia="仿宋" w:cs="仿宋"/>
          <w:sz w:val="32"/>
          <w:szCs w:val="32"/>
          <w:lang w:eastAsia="zh-CN"/>
        </w:rPr>
        <w:t>人</w:t>
      </w:r>
      <w:r>
        <w:rPr>
          <w:rFonts w:hint="eastAsia" w:ascii="仿宋" w:hAnsi="仿宋" w:eastAsia="仿宋" w:cs="仿宋"/>
          <w:sz w:val="32"/>
          <w:szCs w:val="32"/>
        </w:rPr>
        <w:t>民政府主管城乡建设的行政执法部门，正科级建制</w:t>
      </w:r>
      <w:r>
        <w:rPr>
          <w:rFonts w:hint="eastAsia" w:ascii="仿宋" w:hAnsi="仿宋" w:eastAsia="仿宋" w:cs="仿宋"/>
          <w:sz w:val="32"/>
          <w:szCs w:val="32"/>
          <w:lang w:eastAsia="zh-CN"/>
        </w:rPr>
        <w:t>，内</w:t>
      </w:r>
      <w:r>
        <w:rPr>
          <w:rFonts w:hint="eastAsia" w:ascii="仿宋" w:hAnsi="仿宋" w:eastAsia="仿宋" w:cs="仿宋"/>
          <w:sz w:val="32"/>
          <w:szCs w:val="32"/>
        </w:rPr>
        <w:t>设</w:t>
      </w:r>
      <w:r>
        <w:rPr>
          <w:rFonts w:hint="eastAsia" w:ascii="仿宋" w:hAnsi="仿宋" w:eastAsia="仿宋" w:cs="仿宋"/>
          <w:sz w:val="32"/>
          <w:szCs w:val="32"/>
          <w:lang w:eastAsia="zh-CN"/>
        </w:rPr>
        <w:t>办公室及</w:t>
      </w:r>
      <w:r>
        <w:rPr>
          <w:rFonts w:hint="eastAsia" w:ascii="仿宋" w:hAnsi="仿宋" w:eastAsia="仿宋" w:cs="仿宋"/>
          <w:sz w:val="32"/>
          <w:szCs w:val="32"/>
          <w:lang w:val="en-US" w:eastAsia="zh-CN"/>
        </w:rPr>
        <w:t>15</w:t>
      </w:r>
      <w:r>
        <w:rPr>
          <w:rFonts w:hint="eastAsia" w:ascii="仿宋" w:hAnsi="仿宋" w:eastAsia="仿宋" w:cs="仿宋"/>
          <w:sz w:val="32"/>
          <w:szCs w:val="32"/>
        </w:rPr>
        <w:t>个</w:t>
      </w:r>
      <w:r>
        <w:rPr>
          <w:rFonts w:hint="eastAsia" w:ascii="仿宋" w:hAnsi="仿宋" w:eastAsia="仿宋" w:cs="仿宋"/>
          <w:sz w:val="32"/>
          <w:szCs w:val="32"/>
          <w:lang w:eastAsia="zh-CN"/>
        </w:rPr>
        <w:t>业务</w:t>
      </w:r>
      <w:r>
        <w:rPr>
          <w:rFonts w:hint="eastAsia" w:ascii="仿宋" w:hAnsi="仿宋" w:eastAsia="仿宋" w:cs="仿宋"/>
          <w:sz w:val="32"/>
          <w:szCs w:val="32"/>
        </w:rPr>
        <w:t>股室</w:t>
      </w:r>
      <w:r>
        <w:rPr>
          <w:rFonts w:hint="eastAsia" w:ascii="仿宋" w:hAnsi="仿宋" w:eastAsia="仿宋" w:cs="仿宋"/>
          <w:sz w:val="32"/>
          <w:szCs w:val="32"/>
          <w:lang w:eastAsia="zh-CN"/>
        </w:rPr>
        <w:t>（规划股、房产股、施工股、质监站、安全站、招标办、村镇股、节能办、城建股、市政运营股、征补办、法制办及档案股、党建办、信访办）、</w:t>
      </w:r>
      <w:r>
        <w:rPr>
          <w:rFonts w:hint="eastAsia" w:ascii="仿宋" w:hAnsi="仿宋" w:eastAsia="仿宋" w:cs="仿宋"/>
          <w:sz w:val="32"/>
          <w:szCs w:val="32"/>
          <w:lang w:val="en-US" w:eastAsia="zh-CN"/>
        </w:rPr>
        <w:t>城管大队及一个驻外窗口</w:t>
      </w:r>
      <w:r>
        <w:rPr>
          <w:rFonts w:hint="eastAsia" w:ascii="仿宋" w:hAnsi="仿宋" w:eastAsia="仿宋" w:cs="仿宋"/>
          <w:sz w:val="32"/>
          <w:szCs w:val="32"/>
          <w:lang w:eastAsia="zh-CN"/>
        </w:rPr>
        <w:t>，下辖</w:t>
      </w:r>
      <w:r>
        <w:rPr>
          <w:rFonts w:hint="eastAsia" w:ascii="仿宋" w:hAnsi="仿宋" w:eastAsia="仿宋" w:cs="仿宋"/>
          <w:sz w:val="32"/>
          <w:szCs w:val="32"/>
        </w:rPr>
        <w:t>房地</w:t>
      </w:r>
      <w:r>
        <w:rPr>
          <w:rFonts w:hint="eastAsia" w:ascii="仿宋_GB2312" w:hAnsi="仿宋_GB2312" w:eastAsia="仿宋_GB2312" w:cs="仿宋_GB2312"/>
          <w:b w:val="0"/>
          <w:bCs w:val="0"/>
          <w:spacing w:val="7"/>
          <w:sz w:val="32"/>
        </w:rPr>
        <w:t>产交易所</w:t>
      </w:r>
      <w:r>
        <w:rPr>
          <w:rFonts w:hint="eastAsia" w:ascii="仿宋_GB2312" w:hAnsi="仿宋_GB2312" w:eastAsia="仿宋_GB2312" w:cs="仿宋_GB2312"/>
          <w:b w:val="0"/>
          <w:bCs w:val="0"/>
          <w:spacing w:val="7"/>
          <w:sz w:val="32"/>
          <w:lang w:val="en-US" w:eastAsia="zh-CN"/>
        </w:rPr>
        <w:t>(事业单位)</w:t>
      </w:r>
      <w:r>
        <w:rPr>
          <w:rFonts w:hint="eastAsia" w:ascii="仿宋_GB2312" w:hAnsi="仿宋_GB2312" w:eastAsia="仿宋_GB2312" w:cs="仿宋_GB2312"/>
          <w:b w:val="0"/>
          <w:bCs w:val="0"/>
          <w:spacing w:val="7"/>
          <w:sz w:val="32"/>
        </w:rPr>
        <w:t>、振兴安装有限公司、房地产开发公司</w:t>
      </w:r>
      <w:r>
        <w:rPr>
          <w:rFonts w:hint="eastAsia" w:ascii="仿宋_GB2312" w:hAnsi="仿宋_GB2312" w:eastAsia="仿宋_GB2312" w:cs="仿宋_GB2312"/>
          <w:b w:val="0"/>
          <w:bCs w:val="0"/>
          <w:spacing w:val="7"/>
          <w:sz w:val="32"/>
          <w:lang w:eastAsia="zh-CN"/>
        </w:rPr>
        <w:t>（</w:t>
      </w:r>
      <w:r>
        <w:rPr>
          <w:rFonts w:hint="eastAsia" w:ascii="仿宋_GB2312" w:hAnsi="仿宋_GB2312" w:eastAsia="仿宋_GB2312" w:cs="仿宋_GB2312"/>
          <w:b w:val="0"/>
          <w:bCs w:val="0"/>
          <w:spacing w:val="7"/>
          <w:sz w:val="32"/>
          <w:lang w:val="en-US" w:eastAsia="zh-CN"/>
        </w:rPr>
        <w:t>事业单位</w:t>
      </w:r>
      <w:r>
        <w:rPr>
          <w:rFonts w:hint="eastAsia" w:ascii="仿宋_GB2312" w:hAnsi="仿宋_GB2312" w:eastAsia="仿宋_GB2312" w:cs="仿宋_GB2312"/>
          <w:b w:val="0"/>
          <w:bCs w:val="0"/>
          <w:spacing w:val="7"/>
          <w:sz w:val="32"/>
          <w:lang w:eastAsia="zh-CN"/>
        </w:rPr>
        <w:t>）</w:t>
      </w:r>
      <w:r>
        <w:rPr>
          <w:rFonts w:hint="eastAsia" w:ascii="仿宋_GB2312" w:hAnsi="仿宋_GB2312" w:eastAsia="仿宋_GB2312" w:cs="仿宋_GB2312"/>
          <w:b w:val="0"/>
          <w:bCs w:val="0"/>
          <w:spacing w:val="7"/>
          <w:sz w:val="32"/>
        </w:rPr>
        <w:t>、自来水公司</w:t>
      </w:r>
      <w:r>
        <w:rPr>
          <w:rFonts w:hint="eastAsia" w:ascii="仿宋_GB2312" w:hAnsi="仿宋_GB2312" w:eastAsia="仿宋_GB2312" w:cs="仿宋_GB2312"/>
          <w:b w:val="0"/>
          <w:bCs w:val="0"/>
          <w:spacing w:val="7"/>
          <w:sz w:val="32"/>
          <w:lang w:eastAsia="zh-CN"/>
        </w:rPr>
        <w:t>、污水处理厂</w:t>
      </w:r>
      <w:r>
        <w:rPr>
          <w:rFonts w:hint="eastAsia" w:ascii="仿宋_GB2312" w:hAnsi="仿宋_GB2312" w:eastAsia="仿宋_GB2312" w:cs="仿宋_GB2312"/>
          <w:b w:val="0"/>
          <w:bCs w:val="0"/>
          <w:spacing w:val="7"/>
          <w:sz w:val="32"/>
        </w:rPr>
        <w:t>等</w:t>
      </w:r>
      <w:r>
        <w:rPr>
          <w:rFonts w:hint="eastAsia" w:ascii="仿宋_GB2312" w:hAnsi="仿宋_GB2312" w:eastAsia="仿宋_GB2312" w:cs="仿宋_GB2312"/>
          <w:b w:val="0"/>
          <w:bCs w:val="0"/>
          <w:spacing w:val="7"/>
          <w:sz w:val="32"/>
          <w:lang w:eastAsia="zh-CN"/>
        </w:rPr>
        <w:t>五个企事业单位，对城市集中供热、集中供气及垃圾处理企业运营进行监管。</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部门2018年预算收支总表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w w:val="85"/>
          <w:kern w:val="0"/>
          <w:sz w:val="32"/>
          <w:szCs w:val="32"/>
        </w:rPr>
      </w:pPr>
      <w:r>
        <w:rPr>
          <w:rFonts w:hint="eastAsia" w:ascii="仿宋_GB2312" w:hAnsi="楷体" w:eastAsia="仿宋_GB2312"/>
          <w:w w:val="85"/>
          <w:kern w:val="0"/>
          <w:sz w:val="32"/>
          <w:szCs w:val="32"/>
        </w:rPr>
        <w:t>六、</w:t>
      </w:r>
      <w:r>
        <w:rPr>
          <w:rFonts w:hint="eastAsia" w:ascii="仿宋_GB2312" w:hAnsi="楷体" w:eastAsia="仿宋_GB2312"/>
          <w:w w:val="85"/>
          <w:kern w:val="0"/>
          <w:sz w:val="32"/>
          <w:szCs w:val="32"/>
          <w:lang w:eastAsia="zh-CN"/>
        </w:rPr>
        <w:t>浮山县住建局</w:t>
      </w:r>
      <w:r>
        <w:rPr>
          <w:rFonts w:hint="eastAsia" w:ascii="仿宋_GB2312" w:hAnsi="楷体" w:eastAsia="仿宋_GB2312"/>
          <w:w w:val="85"/>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w w:val="90"/>
          <w:kern w:val="0"/>
          <w:sz w:val="32"/>
          <w:szCs w:val="32"/>
        </w:rPr>
      </w:pPr>
      <w:r>
        <w:rPr>
          <w:rFonts w:hint="eastAsia" w:ascii="仿宋_GB2312" w:hAnsi="楷体" w:eastAsia="仿宋_GB2312"/>
          <w:w w:val="90"/>
          <w:kern w:val="0"/>
          <w:sz w:val="32"/>
          <w:szCs w:val="32"/>
        </w:rPr>
        <w:t>九、</w:t>
      </w:r>
      <w:r>
        <w:rPr>
          <w:rFonts w:hint="eastAsia" w:ascii="仿宋_GB2312" w:hAnsi="楷体" w:eastAsia="仿宋_GB2312"/>
          <w:w w:val="90"/>
          <w:kern w:val="0"/>
          <w:sz w:val="32"/>
          <w:szCs w:val="32"/>
          <w:lang w:eastAsia="zh-CN"/>
        </w:rPr>
        <w:t>浮山县住建局</w:t>
      </w:r>
      <w:r>
        <w:rPr>
          <w:rFonts w:hint="eastAsia" w:ascii="仿宋_GB2312" w:hAnsi="楷体" w:eastAsia="仿宋_GB2312"/>
          <w:w w:val="90"/>
          <w:kern w:val="0"/>
          <w:sz w:val="32"/>
          <w:szCs w:val="32"/>
        </w:rPr>
        <w:t>2018年“三公”经费预算财政拨款情况统计表</w:t>
      </w:r>
    </w:p>
    <w:p>
      <w:pPr>
        <w:widowControl/>
        <w:spacing w:line="560" w:lineRule="exact"/>
        <w:ind w:firstLine="640"/>
        <w:rPr>
          <w:rFonts w:hint="eastAsia" w:ascii="仿宋_GB2312" w:hAnsi="楷体" w:eastAsia="仿宋_GB2312"/>
          <w:w w:val="90"/>
          <w:kern w:val="0"/>
          <w:sz w:val="32"/>
          <w:szCs w:val="32"/>
        </w:rPr>
      </w:pPr>
      <w:r>
        <w:rPr>
          <w:rFonts w:hint="eastAsia" w:ascii="仿宋_GB2312" w:hAnsi="楷体" w:eastAsia="仿宋_GB2312"/>
          <w:w w:val="90"/>
          <w:kern w:val="0"/>
          <w:sz w:val="32"/>
          <w:szCs w:val="32"/>
        </w:rPr>
        <w:t>十、</w:t>
      </w:r>
      <w:r>
        <w:rPr>
          <w:rFonts w:hint="eastAsia" w:ascii="仿宋_GB2312" w:hAnsi="楷体" w:eastAsia="仿宋_GB2312"/>
          <w:w w:val="90"/>
          <w:kern w:val="0"/>
          <w:sz w:val="32"/>
          <w:szCs w:val="32"/>
          <w:lang w:eastAsia="zh-CN"/>
        </w:rPr>
        <w:t>浮山县住建局</w:t>
      </w:r>
      <w:r>
        <w:rPr>
          <w:rFonts w:hint="eastAsia" w:ascii="仿宋_GB2312" w:hAnsi="楷体" w:eastAsia="仿宋_GB2312"/>
          <w:w w:val="90"/>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浮山县住建局</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40"/>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2017年部门预算1060.49万元，2018年部门预算2473.17万元差额1412.68万元，原因是2017年部分项目没有纳入预算。</w:t>
      </w:r>
    </w:p>
    <w:p>
      <w:pPr>
        <w:widowControl/>
        <w:spacing w:line="560" w:lineRule="exact"/>
        <w:ind w:firstLine="640"/>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2017年工资福利支出717.48万元，2018年支出1064.1万元，增加346.62万元，因为人员变动和工资调整增加；2017年商品和服务支出5.15万元，2018年支出14.24万元，增加9.09万元，因为办公经费增加1万元、工会经费增加3.02万元，福利费增加5.07万元。</w:t>
      </w:r>
    </w:p>
    <w:p>
      <w:pPr>
        <w:widowControl/>
        <w:spacing w:line="560" w:lineRule="exact"/>
        <w:ind w:firstLine="640"/>
        <w:rPr>
          <w:rFonts w:hint="eastAsia" w:ascii="仿宋_GB2312" w:hAnsi="楷体" w:eastAsia="仿宋_GB2312"/>
          <w:kern w:val="0"/>
          <w:sz w:val="32"/>
          <w:szCs w:val="32"/>
          <w:lang w:val="en-US"/>
        </w:rPr>
      </w:pPr>
      <w:r>
        <w:rPr>
          <w:rFonts w:hint="eastAsia" w:ascii="仿宋_GB2312" w:hAnsi="楷体" w:eastAsia="仿宋_GB2312"/>
          <w:kern w:val="0"/>
          <w:sz w:val="32"/>
          <w:szCs w:val="32"/>
          <w:lang w:val="en-US" w:eastAsia="zh-CN"/>
        </w:rPr>
        <w:t>2018年新增预算项目城区路灯电费150万元，垃圾处理费383.25万元，公厕水费30万元，污水处理运营费402万元，减少项目乡村保洁员工资151万元。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lang w:eastAsia="zh-CN"/>
        </w:rPr>
        <w:t>2018</w:t>
      </w:r>
      <w:r>
        <w:rPr>
          <w:rFonts w:hint="eastAsia" w:ascii="仿宋_GB2312" w:hAnsi="仿宋" w:eastAsia="仿宋_GB2312"/>
          <w:kern w:val="0"/>
          <w:sz w:val="32"/>
          <w:szCs w:val="32"/>
          <w:lang w:val="en-US" w:eastAsia="zh-CN"/>
        </w:rPr>
        <w:t>年没有有关三公经费的预算和支出。</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keepNext w:val="0"/>
        <w:keepLines w:val="0"/>
        <w:pageBreakBefore w:val="0"/>
        <w:widowControl w:val="0"/>
        <w:kinsoku/>
        <w:wordWrap/>
        <w:overflowPunct/>
        <w:topLinePunct w:val="0"/>
        <w:autoSpaceDE/>
        <w:autoSpaceDN/>
        <w:bidi w:val="0"/>
        <w:adjustRightInd/>
        <w:snapToGrid/>
        <w:spacing w:line="586" w:lineRule="atLeas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2018年机关运行经费14.24万元，比2017年5.15万元增加9.09万元，</w:t>
      </w:r>
      <w:r>
        <w:rPr>
          <w:rFonts w:hint="eastAsia" w:ascii="仿宋" w:hAnsi="仿宋" w:eastAsia="仿宋" w:cs="仿宋"/>
          <w:sz w:val="32"/>
          <w:szCs w:val="32"/>
          <w:lang w:eastAsia="zh-CN"/>
        </w:rPr>
        <w:t>因为</w:t>
      </w:r>
      <w:r>
        <w:rPr>
          <w:rFonts w:hint="eastAsia" w:ascii="仿宋" w:hAnsi="仿宋" w:eastAsia="仿宋" w:cs="仿宋"/>
          <w:sz w:val="32"/>
          <w:szCs w:val="32"/>
          <w:lang w:val="en-US" w:eastAsia="zh-CN"/>
        </w:rPr>
        <w:t>2017年机关运行经费中不包括工会经费和职工福利费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2017年</w:t>
      </w:r>
      <w:r>
        <w:rPr>
          <w:rFonts w:hint="eastAsia" w:ascii="仿宋" w:hAnsi="仿宋" w:eastAsia="仿宋" w:cs="仿宋"/>
          <w:sz w:val="32"/>
          <w:szCs w:val="32"/>
          <w:lang w:eastAsia="zh-CN"/>
        </w:rPr>
        <w:t>工会经费为</w:t>
      </w:r>
      <w:r>
        <w:rPr>
          <w:rFonts w:hint="eastAsia" w:ascii="仿宋" w:hAnsi="仿宋" w:eastAsia="仿宋" w:cs="仿宋"/>
          <w:sz w:val="32"/>
          <w:szCs w:val="32"/>
          <w:lang w:val="en-US" w:eastAsia="zh-CN"/>
        </w:rPr>
        <w:t>0万元，2018年</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3.02万元，福利费5.07万元，比2017年0.41万元增加4.66万元，增加原因为职工福利费提高标准</w:t>
      </w:r>
      <w:bookmarkStart w:id="0" w:name="_GoBack"/>
      <w:bookmarkEnd w:id="0"/>
      <w:r>
        <w:rPr>
          <w:rFonts w:hint="eastAsia" w:ascii="仿宋" w:hAnsi="仿宋" w:eastAsia="仿宋" w:cs="仿宋"/>
          <w:sz w:val="32"/>
          <w:szCs w:val="32"/>
          <w:lang w:val="en-US"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w:t>
      </w:r>
      <w:r>
        <w:rPr>
          <w:rFonts w:hint="eastAsia" w:ascii="仿宋" w:hAnsi="仿宋" w:eastAsia="仿宋" w:cs="仿宋"/>
          <w:sz w:val="32"/>
          <w:szCs w:val="32"/>
          <w:lang w:eastAsia="zh-CN"/>
        </w:rPr>
        <w:t>浮山县住建局</w:t>
      </w:r>
      <w:r>
        <w:rPr>
          <w:rFonts w:hint="eastAsia" w:ascii="仿宋_GB2312" w:hAnsi="仿宋" w:eastAsia="仿宋_GB2312"/>
          <w:kern w:val="0"/>
          <w:sz w:val="32"/>
          <w:szCs w:val="32"/>
        </w:rPr>
        <w:t>部门</w:t>
      </w:r>
      <w:r>
        <w:rPr>
          <w:rFonts w:hint="eastAsia" w:ascii="仿宋_GB2312" w:hAnsi="仿宋" w:eastAsia="仿宋_GB2312"/>
          <w:kern w:val="0"/>
          <w:sz w:val="32"/>
          <w:szCs w:val="32"/>
          <w:lang w:eastAsia="zh-CN"/>
        </w:rPr>
        <w:t>没有</w:t>
      </w:r>
      <w:r>
        <w:rPr>
          <w:rFonts w:hint="eastAsia" w:ascii="仿宋_GB2312" w:hAnsi="仿宋" w:eastAsia="仿宋_GB2312"/>
          <w:kern w:val="0"/>
          <w:sz w:val="32"/>
          <w:szCs w:val="32"/>
        </w:rPr>
        <w:t>政府采购预算</w:t>
      </w:r>
      <w:r>
        <w:rPr>
          <w:rFonts w:hint="eastAsia" w:ascii="仿宋_GB2312" w:hAnsi="仿宋"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 w:hAnsi="仿宋" w:eastAsia="仿宋" w:cs="仿宋"/>
          <w:sz w:val="32"/>
          <w:szCs w:val="32"/>
          <w:lang w:eastAsia="zh-CN"/>
        </w:rPr>
        <w:t>浮山县住建局</w:t>
      </w:r>
      <w:r>
        <w:rPr>
          <w:rFonts w:hint="eastAsia" w:ascii="仿宋_GB2312" w:hAnsi="仿宋" w:eastAsia="仿宋_GB2312"/>
          <w:kern w:val="0"/>
          <w:sz w:val="32"/>
          <w:szCs w:val="32"/>
        </w:rPr>
        <w:t>部门实行绩效目标管理的项目</w:t>
      </w:r>
      <w:r>
        <w:rPr>
          <w:rFonts w:hint="eastAsia" w:ascii="仿宋_GB2312" w:hAnsi="仿宋" w:eastAsia="仿宋_GB2312"/>
          <w:kern w:val="0"/>
          <w:sz w:val="32"/>
          <w:szCs w:val="32"/>
          <w:lang w:val="en-US" w:eastAsia="zh-CN"/>
        </w:rPr>
        <w:t>4</w:t>
      </w:r>
      <w:r>
        <w:rPr>
          <w:rFonts w:hint="eastAsia" w:ascii="仿宋_GB2312" w:hAnsi="仿宋" w:eastAsia="仿宋_GB2312"/>
          <w:kern w:val="0"/>
          <w:sz w:val="32"/>
          <w:szCs w:val="32"/>
        </w:rPr>
        <w:t>个。</w:t>
      </w:r>
    </w:p>
    <w:p>
      <w:pPr>
        <w:widowControl/>
        <w:numPr>
          <w:ilvl w:val="0"/>
          <w:numId w:val="3"/>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国有资产占有使用情况</w:t>
      </w:r>
    </w:p>
    <w:p>
      <w:pPr>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w:t>
      </w:r>
      <w:r>
        <w:rPr>
          <w:rFonts w:hint="eastAsia" w:ascii="仿宋" w:hAnsi="仿宋" w:eastAsia="仿宋"/>
          <w:sz w:val="32"/>
          <w:szCs w:val="32"/>
          <w:lang w:eastAsia="zh-CN"/>
        </w:rPr>
        <w:t>我单位现有垃圾清洁车</w:t>
      </w:r>
      <w:r>
        <w:rPr>
          <w:rFonts w:hint="eastAsia" w:ascii="仿宋" w:hAnsi="仿宋" w:eastAsia="仿宋"/>
          <w:sz w:val="32"/>
          <w:szCs w:val="32"/>
          <w:lang w:val="en-US" w:eastAsia="zh-CN"/>
        </w:rPr>
        <w:t>14辆，面包车2辆。</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w:t>
      </w:r>
      <w:r>
        <w:rPr>
          <w:rFonts w:hint="eastAsia" w:ascii="仿宋" w:hAnsi="仿宋" w:eastAsia="仿宋"/>
          <w:sz w:val="32"/>
          <w:szCs w:val="32"/>
          <w:lang w:eastAsia="zh-CN"/>
        </w:rPr>
        <w:t>我单位办公用房</w:t>
      </w:r>
      <w:r>
        <w:rPr>
          <w:rFonts w:hint="eastAsia" w:ascii="仿宋" w:hAnsi="仿宋" w:eastAsia="仿宋"/>
          <w:sz w:val="32"/>
          <w:szCs w:val="32"/>
          <w:lang w:val="en-US" w:eastAsia="zh-CN"/>
        </w:rPr>
        <w:t>2666平方米。</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keepNext w:val="0"/>
        <w:keepLines w:val="0"/>
        <w:pageBreakBefore w:val="0"/>
        <w:widowControl w:val="0"/>
        <w:tabs>
          <w:tab w:val="left" w:pos="8595"/>
        </w:tabs>
        <w:kinsoku/>
        <w:wordWrap/>
        <w:overflowPunct/>
        <w:topLinePunct w:val="0"/>
        <w:autoSpaceDE/>
        <w:autoSpaceDN/>
        <w:bidi w:val="0"/>
        <w:adjustRightInd/>
        <w:snapToGrid w:val="0"/>
        <w:spacing w:line="580" w:lineRule="exact"/>
        <w:ind w:left="0" w:leftChars="0" w:right="0" w:rightChars="0" w:firstLine="640" w:firstLineChars="200"/>
        <w:jc w:val="both"/>
        <w:textAlignment w:val="auto"/>
        <w:rPr>
          <w:rFonts w:hint="eastAsia" w:ascii="仿宋" w:hAnsi="仿宋" w:eastAsia="仿宋"/>
          <w:sz w:val="32"/>
          <w:szCs w:val="32"/>
          <w:lang w:eastAsia="zh-CN"/>
        </w:rPr>
      </w:pPr>
      <w:r>
        <w:rPr>
          <w:rFonts w:hint="eastAsia" w:ascii="仿宋" w:hAnsi="仿宋" w:eastAsia="仿宋" w:cs="仿宋"/>
          <w:sz w:val="32"/>
          <w:szCs w:val="32"/>
          <w:lang w:val="en-US" w:eastAsia="zh-CN"/>
        </w:rPr>
        <w:t>我局固定资产</w:t>
      </w:r>
      <w:r>
        <w:rPr>
          <w:rFonts w:hint="eastAsia" w:ascii="仿宋" w:hAnsi="仿宋" w:eastAsia="仿宋" w:cs="仿宋"/>
          <w:sz w:val="32"/>
          <w:szCs w:val="32"/>
        </w:rPr>
        <w:t>账面数</w:t>
      </w:r>
      <w:r>
        <w:rPr>
          <w:rFonts w:hint="eastAsia" w:ascii="仿宋" w:hAnsi="仿宋" w:eastAsia="仿宋" w:cs="仿宋"/>
          <w:sz w:val="32"/>
          <w:szCs w:val="32"/>
          <w:lang w:val="en-US" w:eastAsia="zh-CN"/>
        </w:rPr>
        <w:t>17449.76万</w:t>
      </w:r>
      <w:r>
        <w:rPr>
          <w:rFonts w:hint="eastAsia" w:ascii="仿宋" w:hAnsi="仿宋" w:eastAsia="仿宋" w:cs="仿宋"/>
          <w:sz w:val="32"/>
          <w:szCs w:val="32"/>
        </w:rPr>
        <w:t>元</w:t>
      </w:r>
      <w:r>
        <w:rPr>
          <w:rFonts w:hint="eastAsia" w:ascii="仿宋" w:hAnsi="仿宋" w:eastAsia="仿宋" w:cs="仿宋"/>
          <w:sz w:val="32"/>
          <w:szCs w:val="32"/>
          <w:lang w:eastAsia="zh-CN"/>
        </w:rPr>
        <w:t>。</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1417" w:right="1474" w:bottom="1587" w:left="1474" w:header="851" w:footer="1587" w:gutter="113"/>
          <w:cols w:space="0" w:num="1"/>
          <w:rtlGutter w:val="0"/>
          <w:docGrid w:linePitch="579" w:charSpace="0"/>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B238C8"/>
    <w:multiLevelType w:val="singleLevel"/>
    <w:tmpl w:val="AEB238C8"/>
    <w:lvl w:ilvl="0" w:tentative="0">
      <w:start w:val="6"/>
      <w:numFmt w:val="chineseCounting"/>
      <w:suff w:val="nothing"/>
      <w:lvlText w:val="%1、"/>
      <w:lvlJc w:val="left"/>
      <w:rPr>
        <w:rFonts w:hint="eastAsia"/>
      </w:rPr>
    </w:lvl>
  </w:abstractNum>
  <w:abstractNum w:abstractNumId="1">
    <w:nsid w:val="CC277C51"/>
    <w:multiLevelType w:val="singleLevel"/>
    <w:tmpl w:val="CC277C51"/>
    <w:lvl w:ilvl="0" w:tentative="0">
      <w:start w:val="1"/>
      <w:numFmt w:val="chineseCounting"/>
      <w:suff w:val="space"/>
      <w:lvlText w:val="第%1部分"/>
      <w:lvlJc w:val="left"/>
      <w:rPr>
        <w:rFonts w:hint="eastAsia"/>
      </w:rPr>
    </w:lvl>
  </w:abstractNum>
  <w:abstractNum w:abstractNumId="2">
    <w:nsid w:val="E5571900"/>
    <w:multiLevelType w:val="singleLevel"/>
    <w:tmpl w:val="E5571900"/>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D1404"/>
    <w:rsid w:val="0E0A19CE"/>
    <w:rsid w:val="134B110E"/>
    <w:rsid w:val="15944332"/>
    <w:rsid w:val="184157A6"/>
    <w:rsid w:val="1F910A28"/>
    <w:rsid w:val="21897154"/>
    <w:rsid w:val="26A15968"/>
    <w:rsid w:val="2CE6184D"/>
    <w:rsid w:val="31077643"/>
    <w:rsid w:val="32C13153"/>
    <w:rsid w:val="3B577DD7"/>
    <w:rsid w:val="3C694AC2"/>
    <w:rsid w:val="3C9E4D44"/>
    <w:rsid w:val="3CB61500"/>
    <w:rsid w:val="45567389"/>
    <w:rsid w:val="457B5769"/>
    <w:rsid w:val="51731629"/>
    <w:rsid w:val="52505E19"/>
    <w:rsid w:val="57015886"/>
    <w:rsid w:val="65A368F4"/>
    <w:rsid w:val="6A760053"/>
    <w:rsid w:val="743329D2"/>
    <w:rsid w:val="7D323AB3"/>
    <w:rsid w:val="7E42669B"/>
    <w:rsid w:val="7F6C3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2018-05-23T02:37:00Z</cp:lastPrinted>
  <dcterms:modified xsi:type="dcterms:W3CDTF">2018-05-23T03:11:45Z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