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p>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国土资源</w:t>
      </w:r>
      <w:r>
        <w:rPr>
          <w:rFonts w:hint="eastAsia" w:ascii="方正小标宋简体" w:hAnsi="华文中宋" w:eastAsia="方正小标宋简体"/>
          <w:kern w:val="0"/>
          <w:sz w:val="44"/>
          <w:szCs w:val="44"/>
        </w:rPr>
        <w:t>局2018年度部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 w:hAnsi="仿宋" w:eastAsia="仿宋" w:cs="仿宋"/>
          <w:kern w:val="0"/>
          <w:sz w:val="30"/>
          <w:szCs w:val="30"/>
        </w:rPr>
      </w:pPr>
      <w:r>
        <w:rPr>
          <w:rFonts w:hint="eastAsia" w:ascii="仿宋" w:hAnsi="仿宋" w:eastAsia="仿宋" w:cs="仿宋"/>
          <w:kern w:val="0"/>
          <w:sz w:val="30"/>
          <w:szCs w:val="30"/>
        </w:rPr>
        <w:t>一、本部门职责</w:t>
      </w:r>
    </w:p>
    <w:p>
      <w:pPr>
        <w:ind w:left="638" w:leftChars="304" w:firstLine="645"/>
        <w:rPr>
          <w:rFonts w:hint="eastAsia" w:ascii="仿宋" w:hAnsi="仿宋" w:eastAsia="仿宋" w:cs="仿宋"/>
          <w:sz w:val="32"/>
          <w:szCs w:val="32"/>
          <w:lang w:val="en-US" w:eastAsia="zh-CN"/>
        </w:rPr>
      </w:pPr>
      <w:r>
        <w:rPr>
          <w:rFonts w:hint="eastAsia" w:ascii="仿宋" w:hAnsi="仿宋" w:eastAsia="仿宋" w:cs="仿宋"/>
          <w:sz w:val="30"/>
          <w:szCs w:val="30"/>
        </w:rPr>
        <w:t>浮山县国土资源局位于浮山县尧山西路105号，我局于2002年2月由原浮山县土地管理局和浮山县地质矿产局合并组建，为正科级建制，是浮山县人民政府开展土地、矿产资源开发利用管理工作和测绘管理工作的行政执法部门。</w:t>
      </w:r>
      <w:r>
        <w:rPr>
          <w:rFonts w:hint="eastAsia" w:ascii="仿宋" w:hAnsi="仿宋" w:eastAsia="仿宋" w:cs="仿宋"/>
          <w:sz w:val="30"/>
          <w:szCs w:val="30"/>
          <w:lang w:eastAsia="zh-CN"/>
        </w:rPr>
        <w:t>其主要职责是：</w:t>
      </w:r>
      <w:r>
        <w:rPr>
          <w:rFonts w:hint="eastAsia" w:ascii="仿宋" w:hAnsi="仿宋" w:eastAsia="仿宋" w:cs="仿宋"/>
          <w:color w:val="333333"/>
          <w:sz w:val="30"/>
          <w:szCs w:val="30"/>
          <w:u w:val="none"/>
        </w:rPr>
        <w:t>（一）承担保护与合理利用土地资源、矿产资源、海洋资源等自然资源的责任。组织拟订国土资源发展规划和战略，开展国土资源经济形势分析，研究提出国土资源供需总量平衡的政策建议，参与国家宏观经济运行、区域协调、城乡统筹的研究并拟订涉及国土资源的调控政策和措施。编制并组织实施国土规划，制定并组织实施国土资源领域资源节约集约利用和循环经济的政策措施。</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二）承担规范国土资源管理秩序的责任。起草国土资源法律法规草案，制定部门规章并监督实施，制定地质环境保护的政策、规章，制定国土资源调查评价技术规程，拟订国土资源开发利用标准。指导地方国土资源行政执法工作，调查处理国土资源重大违法案件。</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三）承担优化配置国土资源的责任。编制和组织实施土地利用总体规划、土地利用年度计划、土地整理复垦开发规划和其他专项规划、计划。指导和审核地方土地利用总体规划、矿产资源规划，组织编制矿产资源、海洋资源、地质勘查和地质环境等规划以及地质灾害防治、矿山环境保护等其他有关的专项规划并监督检查规划执行情况。参与报国务院审批的涉及土地、矿产的相关规划的审核。</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四）负责规范国土资源权属管理。依法保护土地资源、矿产资源、海洋资源等自然资源所有者和使用者的合法权益，组织承办和调处重大权属纠纷，指导土地确权，承担各类土地登记资料的收集、整理、共享和汇交管理，提供社会查询服务。</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五）承担全国耕地保护的责任，确保规划确定的耕地保有量和基本农田面积不减少。牵头拟订并实施耕地保护政策，组织实施基本农田保护，监督占用耕地补偿制度执行情况。指导未利用土地开发、土地整理、土地复垦和耕地开发的监督工作。组织实施土地用途管制、农用地转用和土地征收征用，承担报国务院审批的各类用地的审核、报批工作。</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（六）承担及时准确提供全国土地利用各种数据的责任。制定地籍管理办法，组织土地资源调查、地籍调查、土地统计和动态监测，组织国家重大土地调查专项，指导地方地籍调查、登记和土地分等定级工作。</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七）承担节约集约利用土地资源的责任。拟订并实施土地开发利用标准，管理和监督城乡建设用地供应、政府土地储备、土地开发和节约集约利用。拟订并按规定组织实施土地使用权出让、租赁、作价出资、转让等管理办法，建立基准地价、标定地价等政府公示地价制度，会同农业部门监督管理农村集体建设用地使用权的流转。制定禁止和限制供地目录、划拨用地目录等，承担报国务院审批的改制企业的国有土地资产的处置。</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八）承担规范国土资源市场秩序的责任。监测土地市场和建设用地利用情况，监管地价，规范和监管矿业权市场，组织对矿业权人勘查、开采活动进行监督管理，规范和监管国土资源相关社会中介组织和行为，依法查处违法行为。</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九）负责矿产资源开发的管理，依法管理矿业权的审批登记发证和转让审批登记，负责国家规划矿区、对国民经济具有重要价值的矿区的管理，承担保护性开采的特定矿种、优势矿产的开采总量控制及相关管理工作，组织编制实施矿业权设置方案。</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十）负责管理地质勘查行业和矿产资源储量，组织实施全国地质调查评价、矿产资源勘查，管理中央级地质勘查项目，组织实施国家重大地质勘查专项，管理地质勘查资质、地质资料、地质勘查成果，统一管理中央公益性地质调查和战略性矿产勘查工作。</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十一）承担地质环境保护的责任。组织实施矿山地质环境保护，监督管理古生物化石、地质遗迹、矿业遗迹等重要保护区、保护地，依法管理水文地质、工程地质、环境地质勘查和评价工作，监测、监督防止地下水过量开采和污染，承担城市地质、农业地质、旅游地质的勘查、评价工作。</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（十二）承担地质灾害预防和治理的责任。指导应急处置，组织、协调、指导和监督地质灾害防治工作，制订并组织实施重大地质灾害等国土资源突发事件应急预案。</w:t>
      </w:r>
      <w:r>
        <w:rPr>
          <w:rFonts w:hint="eastAsia" w:ascii="仿宋" w:hAnsi="仿宋" w:eastAsia="仿宋" w:cs="仿宋"/>
          <w:color w:val="333333"/>
          <w:sz w:val="30"/>
          <w:szCs w:val="30"/>
          <w:u w:val="none"/>
        </w:rPr>
        <w:br w:type="textWrapping"/>
      </w:r>
      <w:r>
        <w:rPr>
          <w:rFonts w:hint="eastAsia" w:ascii="仿宋" w:hAnsi="仿宋" w:eastAsia="仿宋" w:cs="仿宋"/>
          <w:color w:val="333333"/>
          <w:sz w:val="30"/>
          <w:szCs w:val="30"/>
          <w:u w:val="none"/>
        </w:rPr>
        <w:t>　　（十三）依法征收资源收益，规范、监督资金使用，拟订土地、矿产资源参与经济调控的政策措施。依法组织土地、矿产资源专项收入的征管，配合有关部门拟订收益分配制度，配合有关部门指导、监督全国土地整理复垦开发资金的收取和使用。参与管理土地、</w:t>
      </w:r>
      <w:r>
        <w:rPr>
          <w:rFonts w:hint="eastAsia" w:ascii="仿宋" w:hAnsi="仿宋" w:eastAsia="仿宋" w:cs="仿宋"/>
          <w:color w:val="333333"/>
          <w:sz w:val="32"/>
          <w:szCs w:val="32"/>
          <w:u w:val="none"/>
        </w:rPr>
        <w:t>矿产等资源性资产，参与管理国家出资形成的矿业权权益，负责有关资金、基金的预算和财务、资产管理与监督。</w:t>
      </w:r>
      <w:r>
        <w:rPr>
          <w:rFonts w:hint="eastAsia" w:ascii="仿宋" w:hAnsi="仿宋" w:eastAsia="仿宋" w:cs="仿宋"/>
          <w:color w:val="333333"/>
          <w:sz w:val="32"/>
          <w:szCs w:val="32"/>
          <w:u w:val="none"/>
        </w:rPr>
        <w:br w:type="textWrapping"/>
      </w:r>
      <w:r>
        <w:rPr>
          <w:rFonts w:hint="eastAsia" w:ascii="仿宋" w:hAnsi="仿宋" w:eastAsia="仿宋" w:cs="仿宋"/>
          <w:color w:val="333333"/>
          <w:sz w:val="32"/>
          <w:szCs w:val="32"/>
          <w:u w:val="none"/>
        </w:rPr>
        <w:t>　　（十四）推进国土资源科技进步，组织制定、实施国土资源科技发展和人才培养战略、规划和计划，组织实施重大科技专项，推进国土资源信息化和信息资料的公共服务。</w:t>
      </w:r>
      <w:r>
        <w:rPr>
          <w:rFonts w:hint="eastAsia" w:ascii="仿宋" w:hAnsi="仿宋" w:eastAsia="仿宋" w:cs="仿宋"/>
          <w:color w:val="333333"/>
          <w:sz w:val="32"/>
          <w:szCs w:val="32"/>
          <w:u w:val="none"/>
        </w:rPr>
        <w:br w:type="textWrapping"/>
      </w:r>
      <w:r>
        <w:rPr>
          <w:rFonts w:hint="eastAsia" w:ascii="仿宋" w:hAnsi="仿宋" w:eastAsia="仿宋" w:cs="仿宋"/>
          <w:color w:val="333333"/>
          <w:sz w:val="32"/>
          <w:szCs w:val="32"/>
          <w:u w:val="none"/>
        </w:rPr>
        <w:t>　　（十五）开展对外合作与交流，拟订对外合作勘查、开采矿产资源政策并组织实施，组织协调境外矿产资源勘查，参与开发工作，依法审批矿产资源对外合作区块，监督对外合作勘查开采行为。</w:t>
      </w:r>
      <w:r>
        <w:rPr>
          <w:rFonts w:hint="eastAsia" w:ascii="仿宋" w:hAnsi="仿宋" w:eastAsia="仿宋" w:cs="仿宋"/>
          <w:color w:val="333333"/>
          <w:sz w:val="32"/>
          <w:szCs w:val="32"/>
          <w:u w:val="none"/>
        </w:rPr>
        <w:br w:type="textWrapping"/>
      </w:r>
      <w:r>
        <w:rPr>
          <w:rFonts w:hint="eastAsia" w:ascii="仿宋" w:hAnsi="仿宋" w:eastAsia="仿宋" w:cs="仿宋"/>
          <w:color w:val="333333"/>
          <w:sz w:val="32"/>
          <w:szCs w:val="32"/>
          <w:u w:val="none"/>
        </w:rPr>
        <w:t>　　（十六）承办国务院交办的其他事项。</w:t>
      </w:r>
    </w:p>
    <w:p>
      <w:pPr>
        <w:widowControl/>
        <w:spacing w:line="560" w:lineRule="exact"/>
        <w:ind w:firstLine="640"/>
        <w:rPr>
          <w:rFonts w:hint="eastAsia" w:ascii="仿宋" w:hAnsi="仿宋" w:eastAsia="仿宋" w:cs="仿宋"/>
          <w:kern w:val="0"/>
          <w:sz w:val="32"/>
          <w:szCs w:val="32"/>
        </w:rPr>
      </w:pPr>
    </w:p>
    <w:p>
      <w:pPr>
        <w:widowControl/>
        <w:numPr>
          <w:ilvl w:val="0"/>
          <w:numId w:val="1"/>
        </w:numPr>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机构设置情况</w:t>
      </w:r>
    </w:p>
    <w:p>
      <w:pPr>
        <w:ind w:left="638" w:leftChars="304" w:firstLine="645"/>
        <w:rPr>
          <w:rFonts w:hint="eastAsia" w:ascii="仿宋" w:hAnsi="仿宋" w:eastAsia="仿宋"/>
          <w:sz w:val="30"/>
          <w:szCs w:val="30"/>
        </w:rPr>
      </w:pPr>
      <w:r>
        <w:rPr>
          <w:rFonts w:hint="eastAsia" w:ascii="仿宋" w:hAnsi="仿宋" w:eastAsia="仿宋"/>
          <w:sz w:val="30"/>
          <w:szCs w:val="30"/>
        </w:rPr>
        <w:t>机构和人员编制情况：</w:t>
      </w:r>
    </w:p>
    <w:p>
      <w:pPr>
        <w:ind w:left="638" w:leftChars="304" w:firstLine="645"/>
        <w:rPr>
          <w:rFonts w:hint="eastAsia" w:ascii="仿宋" w:hAnsi="仿宋" w:eastAsia="仿宋"/>
          <w:sz w:val="30"/>
          <w:szCs w:val="30"/>
        </w:rPr>
      </w:pPr>
      <w:r>
        <w:rPr>
          <w:rFonts w:hint="eastAsia" w:ascii="仿宋" w:hAnsi="仿宋" w:eastAsia="仿宋"/>
          <w:sz w:val="30"/>
          <w:szCs w:val="30"/>
        </w:rPr>
        <w:t>批准机构情况：行政机构1个；内设机构4个，办公室、土地管理股、矿产资源管理股、测绘股；事业单位9个（其中：全额拨款6个，浮山县土地收储中心、浮山县国土资源局执法监察大队、浮山县天坛国土资源所、浮山县张庄国土资源所、浮山县东张国土资源所、浮山县北王国土资源所；经费自理3个，浮山县国土资源交易事务所、浮山县土地开发整理中心、浮山县矿山技术服务部）。</w:t>
      </w:r>
    </w:p>
    <w:p>
      <w:pPr>
        <w:ind w:left="638" w:leftChars="304" w:firstLine="645"/>
        <w:rPr>
          <w:rFonts w:hint="eastAsia" w:ascii="仿宋" w:hAnsi="仿宋" w:eastAsia="仿宋"/>
          <w:sz w:val="30"/>
          <w:szCs w:val="30"/>
        </w:rPr>
      </w:pPr>
      <w:r>
        <w:rPr>
          <w:rFonts w:hint="eastAsia" w:ascii="仿宋" w:hAnsi="仿宋" w:eastAsia="仿宋"/>
          <w:sz w:val="30"/>
          <w:szCs w:val="30"/>
        </w:rPr>
        <w:t>实际设置情况：行政机构1个，科级建制，浮山县国土资源局；2个副科级建制，浮山县土地收储中心、浮山县国土资源局执法监察大队；23个股级建制，办公室、财务股、矿管股、地环股、征管股、地产交易所、土地监察中队、矿山监察中队、用地室、地籍规划室、开发整理中心、技术服务部、审批窗口、纪检监察室、天坛国土资源所、张庄国土资源所、东张国土资源所、北王国土资源所、响水河国土资源所、槐埝国土资源所、米家垣国土资源所、寨疙瘩国土资源所、北韩国土资源所。</w:t>
      </w:r>
    </w:p>
    <w:p>
      <w:pPr>
        <w:ind w:left="638" w:leftChars="304" w:firstLine="645"/>
        <w:rPr>
          <w:rFonts w:hint="eastAsia" w:ascii="仿宋" w:hAnsi="仿宋" w:eastAsia="仿宋"/>
          <w:sz w:val="30"/>
          <w:szCs w:val="30"/>
        </w:rPr>
      </w:pPr>
      <w:r>
        <w:rPr>
          <w:rFonts w:hint="eastAsia" w:ascii="仿宋" w:hAnsi="仿宋" w:eastAsia="仿宋"/>
          <w:sz w:val="30"/>
          <w:szCs w:val="30"/>
        </w:rPr>
        <w:t>核定编制情况：行政编制12名；工勤编制1名。事业编制90名（其中：全额拨款28名；经费自理62名）；</w:t>
      </w:r>
    </w:p>
    <w:p>
      <w:pPr>
        <w:ind w:left="638" w:leftChars="304" w:firstLine="645"/>
        <w:rPr>
          <w:rFonts w:hint="eastAsia" w:ascii="仿宋" w:hAnsi="仿宋" w:eastAsia="仿宋"/>
          <w:sz w:val="30"/>
          <w:szCs w:val="30"/>
        </w:rPr>
      </w:pPr>
      <w:r>
        <w:rPr>
          <w:rFonts w:hint="eastAsia" w:ascii="仿宋" w:hAnsi="仿宋" w:eastAsia="仿宋"/>
          <w:sz w:val="30"/>
          <w:szCs w:val="30"/>
        </w:rPr>
        <w:t>实有人员情况：行政编制人员14人，工勤编制人员1人，事业编制人员149人（其中：全额拨款39人；经费自理110人）。</w:t>
      </w:r>
    </w:p>
    <w:p>
      <w:pPr>
        <w:widowControl/>
        <w:numPr>
          <w:ilvl w:val="0"/>
          <w:numId w:val="0"/>
        </w:numPr>
        <w:spacing w:line="560" w:lineRule="exact"/>
        <w:rPr>
          <w:rFonts w:hint="eastAsia" w:ascii="仿宋_GB2312" w:hAnsi="楷体"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浮山县国土资源局</w:t>
      </w:r>
      <w:r>
        <w:rPr>
          <w:rFonts w:hint="eastAsia" w:ascii="仿宋_GB2312" w:hAnsi="楷体" w:eastAsia="仿宋_GB2312"/>
          <w:kern w:val="0"/>
          <w:sz w:val="32"/>
          <w:szCs w:val="32"/>
        </w:rPr>
        <w:t>2018年机关运行经费预算财政拨款情况统计表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国土资源局2018年部门预算708.03万元，比2017年预算增加284.74万元。其中：工资福利支出比2017年增加了163.66万元，增加原因为2018年代扣了养老保险和职业年金。商品和服务支出比2017年增加了72.58万元，增加原因为2018年商品和服务支出里面包括了工会经费、职工福利费和其他交通费。对个人和家庭补助支出比2017年减少了15.51万元，减少原因为2018年预算中不包括退休人工资，退休人员工资移交社保机构发放。</w:t>
      </w:r>
    </w:p>
    <w:p>
      <w:pPr>
        <w:widowControl/>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 w:hAnsi="仿宋" w:eastAsia="仿宋"/>
          <w:sz w:val="32"/>
          <w:szCs w:val="32"/>
          <w:lang w:val="en-US" w:eastAsia="zh-CN"/>
        </w:rPr>
        <w:t>21</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7</w:t>
      </w:r>
      <w:r>
        <w:rPr>
          <w:rFonts w:hint="eastAsia" w:ascii="仿宋_GB2312" w:eastAsia="仿宋_GB2312"/>
          <w:sz w:val="32"/>
          <w:szCs w:val="32"/>
        </w:rPr>
        <w:t>年增加</w:t>
      </w:r>
      <w:r>
        <w:rPr>
          <w:rFonts w:hint="eastAsia" w:ascii="仿宋_GB2312" w:eastAsia="仿宋_GB2312"/>
          <w:sz w:val="32"/>
          <w:szCs w:val="32"/>
          <w:lang w:val="en-US" w:eastAsia="zh-CN"/>
        </w:rPr>
        <w:t>8.2</w:t>
      </w:r>
      <w:r>
        <w:rPr>
          <w:rFonts w:hint="eastAsia" w:ascii="仿宋_GB2312" w:eastAsia="仿宋_GB2312"/>
          <w:sz w:val="32"/>
          <w:szCs w:val="32"/>
        </w:rPr>
        <w:t>万元，原因是</w:t>
      </w:r>
      <w:r>
        <w:rPr>
          <w:rFonts w:hint="eastAsia" w:ascii="仿宋" w:hAnsi="仿宋" w:eastAsia="仿宋"/>
          <w:sz w:val="32"/>
          <w:szCs w:val="32"/>
          <w:lang w:eastAsia="zh-CN"/>
        </w:rPr>
        <w:t>我单位加大对各类非法盗采矿产资源行为及地质灾害防治工作的巡查、排查和监测</w:t>
      </w:r>
      <w:r>
        <w:rPr>
          <w:rFonts w:hint="eastAsia" w:ascii="仿宋_GB2312" w:eastAsia="仿宋_GB2312"/>
          <w:sz w:val="32"/>
          <w:szCs w:val="32"/>
        </w:rPr>
        <w:t>。其中：公务接待费</w:t>
      </w:r>
      <w:r>
        <w:rPr>
          <w:rFonts w:hint="eastAsia" w:ascii="仿宋" w:hAnsi="仿宋" w:eastAsia="仿宋"/>
          <w:sz w:val="32"/>
          <w:szCs w:val="32"/>
          <w:lang w:val="en-US" w:eastAsia="zh-CN"/>
        </w:rPr>
        <w:t>1</w:t>
      </w:r>
      <w:r>
        <w:rPr>
          <w:rFonts w:hint="eastAsia" w:ascii="仿宋_GB2312" w:eastAsia="仿宋_GB2312"/>
          <w:sz w:val="32"/>
          <w:szCs w:val="32"/>
        </w:rPr>
        <w:t>万元，比上年增加</w:t>
      </w:r>
      <w:r>
        <w:rPr>
          <w:rFonts w:hint="eastAsia" w:ascii="仿宋_GB2312" w:eastAsia="仿宋_GB2312"/>
          <w:sz w:val="32"/>
          <w:szCs w:val="32"/>
          <w:lang w:val="en-US" w:eastAsia="zh-CN"/>
        </w:rPr>
        <w:t>0.5</w:t>
      </w:r>
      <w:r>
        <w:rPr>
          <w:rFonts w:hint="eastAsia" w:ascii="仿宋_GB2312" w:eastAsia="仿宋_GB2312"/>
          <w:sz w:val="32"/>
          <w:szCs w:val="32"/>
        </w:rPr>
        <w:t>万元，公务用车运行维护费</w:t>
      </w:r>
      <w:r>
        <w:rPr>
          <w:rFonts w:hint="eastAsia" w:ascii="仿宋" w:hAnsi="仿宋" w:eastAsia="仿宋"/>
          <w:sz w:val="32"/>
          <w:szCs w:val="32"/>
          <w:lang w:val="en-US" w:eastAsia="zh-CN"/>
        </w:rPr>
        <w:t>20</w:t>
      </w:r>
      <w:r>
        <w:rPr>
          <w:rFonts w:hint="eastAsia" w:ascii="仿宋_GB2312" w:eastAsia="仿宋_GB2312"/>
          <w:sz w:val="32"/>
          <w:szCs w:val="32"/>
        </w:rPr>
        <w:t>万元，比上年增加</w:t>
      </w:r>
      <w:r>
        <w:rPr>
          <w:rFonts w:hint="eastAsia" w:ascii="仿宋_GB2312" w:eastAsia="仿宋_GB2312"/>
          <w:sz w:val="32"/>
          <w:szCs w:val="32"/>
          <w:lang w:val="en-US" w:eastAsia="zh-CN"/>
        </w:rPr>
        <w:t>8</w:t>
      </w:r>
      <w:r>
        <w:rPr>
          <w:rFonts w:hint="eastAsia" w:ascii="仿宋_GB2312" w:eastAsia="仿宋_GB2312"/>
          <w:sz w:val="32"/>
          <w:szCs w:val="32"/>
        </w:rPr>
        <w:t>万元；</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浮山县国土资源局</w:t>
      </w:r>
      <w:r>
        <w:rPr>
          <w:rFonts w:hint="eastAsia" w:ascii="仿宋_GB2312" w:hAnsi="仿宋" w:eastAsia="仿宋_GB2312"/>
          <w:kern w:val="0"/>
          <w:sz w:val="32"/>
          <w:szCs w:val="32"/>
        </w:rPr>
        <w:t>2018年的机关运行经费</w:t>
      </w:r>
      <w:r>
        <w:rPr>
          <w:rFonts w:hint="eastAsia" w:ascii="仿宋" w:hAnsi="仿宋" w:eastAsia="仿宋"/>
          <w:sz w:val="32"/>
          <w:szCs w:val="32"/>
          <w:lang w:val="en-US" w:eastAsia="zh-CN"/>
        </w:rPr>
        <w:t>比2017年增加了72.58万元，增加原因为2018年商品和服务支出里面包括了工会经费、职工福利费和其他交通费。</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浮山县国土资源局</w:t>
      </w:r>
      <w:r>
        <w:rPr>
          <w:rFonts w:hint="eastAsia" w:ascii="仿宋_GB2312" w:hAnsi="仿宋" w:eastAsia="仿宋_GB2312"/>
          <w:kern w:val="0"/>
          <w:sz w:val="32"/>
          <w:szCs w:val="32"/>
        </w:rPr>
        <w:t>政府采购预算总额</w:t>
      </w:r>
      <w:r>
        <w:rPr>
          <w:rFonts w:hint="eastAsia" w:ascii="仿宋_GB2312" w:hAnsi="仿宋" w:eastAsia="仿宋_GB2312"/>
          <w:kern w:val="0"/>
          <w:sz w:val="32"/>
          <w:szCs w:val="32"/>
          <w:lang w:val="en-US" w:eastAsia="zh-CN"/>
        </w:rPr>
        <w:t>45.75</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23.15</w:t>
      </w:r>
      <w:r>
        <w:rPr>
          <w:rFonts w:hint="eastAsia" w:ascii="仿宋_GB2312" w:hAnsi="仿宋" w:eastAsia="仿宋_GB2312"/>
          <w:kern w:val="0"/>
          <w:sz w:val="32"/>
          <w:szCs w:val="32"/>
        </w:rPr>
        <w:t>万元、政府采购服务预算</w:t>
      </w:r>
      <w:r>
        <w:rPr>
          <w:rFonts w:hint="eastAsia" w:ascii="仿宋_GB2312" w:hAnsi="仿宋" w:eastAsia="仿宋_GB2312"/>
          <w:kern w:val="0"/>
          <w:sz w:val="32"/>
          <w:szCs w:val="32"/>
          <w:lang w:val="en-US" w:eastAsia="zh-CN"/>
        </w:rPr>
        <w:t>22.6</w:t>
      </w:r>
      <w:r>
        <w:rPr>
          <w:rFonts w:hint="eastAsia" w:ascii="仿宋_GB2312" w:hAnsi="仿宋" w:eastAsia="仿宋_GB2312"/>
          <w:kern w:val="0"/>
          <w:sz w:val="32"/>
          <w:szCs w:val="32"/>
        </w:rPr>
        <w:t>万元。</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lang w:eastAsia="zh-CN"/>
        </w:rPr>
        <w:t>五．</w:t>
      </w:r>
      <w:r>
        <w:rPr>
          <w:rFonts w:hint="eastAsia" w:ascii="仿宋_GB2312" w:hAnsi="仿宋" w:eastAsia="仿宋_GB2312"/>
          <w:kern w:val="0"/>
          <w:sz w:val="32"/>
          <w:szCs w:val="32"/>
        </w:rPr>
        <w:t>绩效管理情况</w:t>
      </w:r>
    </w:p>
    <w:p>
      <w:pPr>
        <w:widowControl/>
        <w:spacing w:line="560" w:lineRule="exact"/>
        <w:ind w:firstLine="636"/>
        <w:rPr>
          <w:rFonts w:ascii="仿宋_GB2312" w:hAnsi="楷体"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年浮山县</w:t>
      </w:r>
      <w:r>
        <w:rPr>
          <w:rFonts w:hint="eastAsia" w:ascii="仿宋_GB2312" w:hAnsi="仿宋" w:eastAsia="仿宋_GB2312"/>
          <w:kern w:val="0"/>
          <w:sz w:val="32"/>
          <w:szCs w:val="32"/>
          <w:lang w:eastAsia="zh-CN"/>
        </w:rPr>
        <w:t>国土资源局</w:t>
      </w:r>
      <w:r>
        <w:rPr>
          <w:rFonts w:hint="eastAsia" w:ascii="仿宋_GB2312" w:hAnsi="仿宋" w:eastAsia="仿宋_GB2312"/>
          <w:kern w:val="0"/>
          <w:sz w:val="32"/>
          <w:szCs w:val="32"/>
        </w:rPr>
        <w:t>绩效目标管理的项目</w:t>
      </w:r>
      <w:r>
        <w:rPr>
          <w:rFonts w:ascii="仿宋_GB2312" w:hAnsi="仿宋" w:eastAsia="仿宋_GB2312"/>
          <w:kern w:val="0"/>
          <w:sz w:val="32"/>
          <w:szCs w:val="32"/>
        </w:rPr>
        <w:t>0</w:t>
      </w:r>
      <w:r>
        <w:rPr>
          <w:rFonts w:hint="eastAsia" w:ascii="仿宋_GB2312" w:hAnsi="仿宋" w:eastAsia="仿宋_GB2312"/>
          <w:kern w:val="0"/>
          <w:sz w:val="32"/>
          <w:szCs w:val="32"/>
        </w:rPr>
        <w:t>个。</w:t>
      </w:r>
    </w:p>
    <w:p>
      <w:pPr>
        <w:widowControl/>
        <w:spacing w:line="560" w:lineRule="exact"/>
        <w:ind w:firstLine="640" w:firstLineChars="200"/>
        <w:rPr>
          <w:rFonts w:hint="eastAsia" w:ascii="仿宋_GB2312" w:hAnsi="仿宋" w:eastAsia="仿宋_GB2312"/>
          <w:kern w:val="0"/>
          <w:sz w:val="32"/>
          <w:szCs w:val="32"/>
        </w:rPr>
      </w:pPr>
      <w:r>
        <w:rPr>
          <w:rFonts w:hint="eastAsia" w:ascii="仿宋_GB2312" w:hAnsi="楷体" w:eastAsia="仿宋_GB2312"/>
          <w:kern w:val="0"/>
          <w:sz w:val="32"/>
          <w:szCs w:val="32"/>
          <w:lang w:eastAsia="zh-CN"/>
        </w:rPr>
        <w:t>六</w:t>
      </w:r>
      <w:r>
        <w:rPr>
          <w:rFonts w:hint="eastAsia" w:ascii="仿宋_GB2312" w:hAnsi="楷体" w:eastAsia="仿宋_GB2312"/>
          <w:kern w:val="0"/>
          <w:sz w:val="32"/>
          <w:szCs w:val="32"/>
        </w:rPr>
        <w:t>、其他说明</w:t>
      </w: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p>
    <w:p>
      <w:pPr>
        <w:widowControl/>
        <w:spacing w:line="560" w:lineRule="exact"/>
        <w:ind w:firstLine="636"/>
        <w:rPr>
          <w:rFonts w:hint="eastAsia" w:ascii="仿宋_GB2312" w:hAnsi="仿宋" w:eastAsia="仿宋_GB2312"/>
          <w:kern w:val="0"/>
          <w:sz w:val="32"/>
          <w:szCs w:val="32"/>
        </w:rPr>
      </w:pPr>
      <w:r>
        <w:rPr>
          <w:rFonts w:hint="eastAsia" w:ascii="仿宋" w:hAnsi="仿宋" w:eastAsia="仿宋"/>
          <w:sz w:val="32"/>
          <w:szCs w:val="32"/>
        </w:rPr>
        <w:t>我局目前拥有公务用车1</w:t>
      </w:r>
      <w:r>
        <w:rPr>
          <w:rFonts w:hint="eastAsia" w:ascii="仿宋" w:hAnsi="仿宋" w:eastAsia="仿宋"/>
          <w:sz w:val="32"/>
          <w:szCs w:val="32"/>
          <w:lang w:val="en-US" w:eastAsia="zh-CN"/>
        </w:rPr>
        <w:t>6</w:t>
      </w:r>
      <w:r>
        <w:rPr>
          <w:rFonts w:hint="eastAsia" w:ascii="仿宋" w:hAnsi="仿宋" w:eastAsia="仿宋"/>
          <w:sz w:val="32"/>
          <w:szCs w:val="32"/>
        </w:rPr>
        <w:t>辆。</w:t>
      </w:r>
      <w:bookmarkStart w:id="0" w:name="_GoBack"/>
      <w:bookmarkEnd w:id="0"/>
    </w:p>
    <w:p>
      <w:pPr>
        <w:widowControl/>
        <w:numPr>
          <w:ilvl w:val="0"/>
          <w:numId w:val="2"/>
        </w:numPr>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房屋情况；</w:t>
      </w:r>
    </w:p>
    <w:p>
      <w:pPr>
        <w:widowControl/>
        <w:numPr>
          <w:ilvl w:val="0"/>
          <w:numId w:val="0"/>
        </w:numPr>
        <w:spacing w:line="560" w:lineRule="exact"/>
        <w:ind w:firstLine="640" w:firstLineChars="200"/>
        <w:rPr>
          <w:rFonts w:hint="eastAsia" w:ascii="仿宋_GB2312" w:hAnsi="仿宋" w:eastAsia="仿宋_GB2312"/>
          <w:kern w:val="0"/>
          <w:sz w:val="32"/>
          <w:szCs w:val="32"/>
        </w:rPr>
      </w:pPr>
      <w:r>
        <w:rPr>
          <w:rFonts w:hint="eastAsia" w:ascii="仿宋" w:hAnsi="仿宋" w:eastAsia="仿宋"/>
          <w:sz w:val="32"/>
          <w:szCs w:val="32"/>
        </w:rPr>
        <w:t>我局目前拥有办公楼一座，</w:t>
      </w:r>
      <w:r>
        <w:rPr>
          <w:rFonts w:hint="eastAsia" w:ascii="仿宋" w:hAnsi="仿宋" w:eastAsia="仿宋"/>
          <w:sz w:val="32"/>
          <w:szCs w:val="32"/>
          <w:lang w:eastAsia="zh-CN"/>
        </w:rPr>
        <w:t>占地面积</w:t>
      </w:r>
      <w:r>
        <w:rPr>
          <w:rFonts w:hint="eastAsia" w:ascii="仿宋" w:hAnsi="仿宋" w:eastAsia="仿宋"/>
          <w:sz w:val="32"/>
          <w:szCs w:val="32"/>
          <w:lang w:val="en-US" w:eastAsia="zh-CN"/>
        </w:rPr>
        <w:t>2963.203</w:t>
      </w:r>
      <w:r>
        <w:rPr>
          <w:rFonts w:hint="eastAsia" w:ascii="仿宋" w:hAnsi="仿宋" w:eastAsia="仿宋"/>
          <w:sz w:val="32"/>
          <w:szCs w:val="32"/>
        </w:rPr>
        <w:t>平方米。</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59C020"/>
    <w:multiLevelType w:val="singleLevel"/>
    <w:tmpl w:val="F859C020"/>
    <w:lvl w:ilvl="0" w:tentative="0">
      <w:start w:val="2"/>
      <w:numFmt w:val="chineseCounting"/>
      <w:suff w:val="nothing"/>
      <w:lvlText w:val="%1、"/>
      <w:lvlJc w:val="left"/>
      <w:rPr>
        <w:rFonts w:hint="eastAsia"/>
      </w:rPr>
    </w:lvl>
  </w:abstractNum>
  <w:abstractNum w:abstractNumId="1">
    <w:nsid w:val="28427E6B"/>
    <w:multiLevelType w:val="singleLevel"/>
    <w:tmpl w:val="28427E6B"/>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56F4E"/>
    <w:rsid w:val="0A1D5941"/>
    <w:rsid w:val="0E0A19CE"/>
    <w:rsid w:val="3DD12C0F"/>
    <w:rsid w:val="45955D8F"/>
    <w:rsid w:val="47C555FA"/>
    <w:rsid w:val="535A0C10"/>
    <w:rsid w:val="57071D18"/>
    <w:rsid w:val="57AC207F"/>
    <w:rsid w:val="5DCC5BE1"/>
    <w:rsid w:val="62935CBF"/>
    <w:rsid w:val="65996EAC"/>
    <w:rsid w:val="66875FD3"/>
    <w:rsid w:val="6A964B17"/>
    <w:rsid w:val="77EA64D0"/>
    <w:rsid w:val="7CBF0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 w:type="character" w:styleId="7">
    <w:name w:val="FollowedHyperlink"/>
    <w:basedOn w:val="4"/>
    <w:qFormat/>
    <w:uiPriority w:val="0"/>
    <w:rPr>
      <w:color w:val="333333"/>
      <w:u w:val="none"/>
    </w:rPr>
  </w:style>
  <w:style w:type="character" w:styleId="8">
    <w:name w:val="Hyperlink"/>
    <w:basedOn w:val="4"/>
    <w:qFormat/>
    <w:uiPriority w:val="0"/>
    <w:rPr>
      <w:color w:val="333333"/>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cp:lastPrinted>2018-05-24T01:04:00Z</cp:lastPrinted>
  <dcterms:modified xsi:type="dcterms:W3CDTF">2019-01-28T02:30:32Z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