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rPr>
      </w:pPr>
    </w:p>
    <w:p>
      <w:pPr>
        <w:widowControl/>
        <w:jc w:val="center"/>
        <w:rPr>
          <w:rFonts w:hint="eastAsia" w:ascii="方正小标宋简体" w:hAnsi="宋体" w:eastAsia="方正小标宋简体" w:cs="宋体"/>
          <w:kern w:val="0"/>
          <w:sz w:val="44"/>
          <w:szCs w:val="44"/>
          <w:lang w:eastAsia="zh-CN"/>
        </w:rPr>
      </w:pPr>
    </w:p>
    <w:p>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w:t>
      </w:r>
      <w:r>
        <w:rPr>
          <w:rFonts w:hint="eastAsia" w:ascii="方正小标宋简体" w:hAnsi="华文中宋" w:eastAsia="方正小标宋简体"/>
          <w:kern w:val="0"/>
          <w:sz w:val="44"/>
          <w:szCs w:val="44"/>
          <w:lang w:eastAsia="zh-CN"/>
        </w:rPr>
        <w:t>卫生和计划生育</w:t>
      </w:r>
      <w:r>
        <w:rPr>
          <w:rFonts w:hint="eastAsia" w:ascii="方正小标宋简体" w:hAnsi="华文中宋" w:eastAsia="方正小标宋简体"/>
          <w:kern w:val="0"/>
          <w:sz w:val="44"/>
          <w:szCs w:val="44"/>
        </w:rPr>
        <w:t>局</w:t>
      </w:r>
    </w:p>
    <w:p>
      <w:pPr>
        <w:widowControl/>
        <w:jc w:val="center"/>
        <w:rPr>
          <w:rFonts w:hint="eastAsia" w:ascii="方正小标宋简体" w:hAnsi="华文中宋" w:eastAsia="方正小标宋简体"/>
          <w:kern w:val="0"/>
          <w:sz w:val="44"/>
          <w:szCs w:val="44"/>
        </w:rPr>
      </w:pP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hint="eastAsia" w:ascii="黑体" w:hAnsi="Times New Roman" w:eastAsia="黑体"/>
          <w:kern w:val="0"/>
          <w:sz w:val="32"/>
          <w:szCs w:val="32"/>
        </w:rPr>
      </w:pPr>
    </w:p>
    <w:p>
      <w:pPr>
        <w:widowControl/>
        <w:spacing w:line="560" w:lineRule="exact"/>
        <w:jc w:val="center"/>
        <w:rPr>
          <w:rFonts w:hint="eastAsia" w:ascii="黑体" w:hAnsi="Times New Roman" w:eastAsia="黑体"/>
          <w:kern w:val="0"/>
          <w:sz w:val="32"/>
          <w:szCs w:val="32"/>
        </w:rPr>
      </w:pPr>
    </w:p>
    <w:p>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pPr>
        <w:widowControl/>
        <w:spacing w:line="560" w:lineRule="exact"/>
        <w:ind w:firstLine="640"/>
        <w:rPr>
          <w:rFonts w:hint="eastAsia" w:ascii="仿宋_GB2312" w:hAnsi="楷体" w:eastAsia="仿宋_GB2312"/>
          <w:kern w:val="0"/>
          <w:sz w:val="32"/>
          <w:szCs w:val="32"/>
        </w:rPr>
      </w:pPr>
    </w:p>
    <w:p>
      <w:pPr>
        <w:keepNext w:val="0"/>
        <w:keepLines w:val="0"/>
        <w:pageBreakBefore w:val="0"/>
        <w:widowControl/>
        <w:kinsoku/>
        <w:wordWrap/>
        <w:overflowPunct/>
        <w:topLinePunct w:val="0"/>
        <w:bidi w:val="0"/>
        <w:snapToGrid/>
        <w:spacing w:line="360" w:lineRule="auto"/>
        <w:ind w:firstLine="640" w:firstLineChars="200"/>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jc w:val="both"/>
        <w:textAlignment w:val="auto"/>
        <w:outlineLvl w:val="9"/>
        <w:rPr>
          <w:rFonts w:hint="eastAsia" w:ascii="仿宋_GB2312" w:hAnsi="仿宋" w:eastAsia="仿宋_GB2312" w:cs="仿宋"/>
          <w:color w:val="000000"/>
          <w:sz w:val="32"/>
          <w:szCs w:val="32"/>
          <w:lang w:eastAsia="zh-CN"/>
        </w:rPr>
      </w:pPr>
      <w:r>
        <w:rPr>
          <w:rFonts w:hint="eastAsia" w:ascii="仿宋_GB2312" w:eastAsia="仿宋_GB2312"/>
          <w:sz w:val="32"/>
          <w:szCs w:val="32"/>
          <w:lang w:eastAsia="zh-CN"/>
        </w:rPr>
        <w:t>浮山县卫生和计划生育局</w:t>
      </w:r>
      <w:r>
        <w:rPr>
          <w:rFonts w:hint="eastAsia" w:ascii="仿宋_GB2312" w:eastAsia="仿宋_GB2312"/>
          <w:sz w:val="32"/>
          <w:szCs w:val="32"/>
        </w:rPr>
        <w:t>是</w:t>
      </w:r>
      <w:r>
        <w:rPr>
          <w:rFonts w:hint="eastAsia" w:ascii="仿宋_GB2312" w:eastAsia="仿宋_GB2312"/>
          <w:sz w:val="32"/>
          <w:szCs w:val="32"/>
          <w:lang w:eastAsia="zh-CN"/>
        </w:rPr>
        <w:t>浮山</w:t>
      </w:r>
      <w:r>
        <w:rPr>
          <w:rFonts w:hint="eastAsia" w:ascii="仿宋_GB2312" w:eastAsia="仿宋_GB2312"/>
          <w:sz w:val="32"/>
          <w:szCs w:val="32"/>
        </w:rPr>
        <w:t>县人民政府组成工作部门，</w:t>
      </w:r>
      <w:r>
        <w:rPr>
          <w:rFonts w:hint="eastAsia" w:ascii="仿宋_GB2312" w:eastAsia="仿宋_GB2312"/>
          <w:sz w:val="32"/>
          <w:szCs w:val="32"/>
          <w:lang w:eastAsia="zh-CN"/>
        </w:rPr>
        <w:t>正科级</w:t>
      </w:r>
      <w:r>
        <w:rPr>
          <w:rFonts w:hint="eastAsia" w:ascii="仿宋_GB2312" w:eastAsia="仿宋_GB2312"/>
          <w:sz w:val="32"/>
          <w:szCs w:val="32"/>
        </w:rPr>
        <w:t>建制。主要职能</w:t>
      </w:r>
      <w:r>
        <w:rPr>
          <w:rFonts w:hint="eastAsia" w:ascii="仿宋_GB2312" w:hAnsi="仿宋" w:eastAsia="仿宋_GB2312" w:cs="仿宋"/>
          <w:color w:val="000000"/>
          <w:sz w:val="32"/>
          <w:szCs w:val="32"/>
          <w:lang w:eastAsia="zh-CN"/>
        </w:rPr>
        <w:t>是</w:t>
      </w:r>
      <w:r>
        <w:rPr>
          <w:rFonts w:hint="eastAsia" w:ascii="仿宋_GB2312" w:hAnsi="仿宋" w:eastAsia="仿宋_GB2312" w:cs="仿宋"/>
          <w:color w:val="000000"/>
          <w:sz w:val="32"/>
          <w:szCs w:val="32"/>
        </w:rPr>
        <w:t>贯彻执行卫生、计划生育工作法律、法规和方针政策；负责执行疾病预防控制规划、免疫规划和严重危害人民健康的公共卫生问题的干预措施；负责起草有关卫生、计生工作方面的规章制度和规范性文件，并监督实施；组织监测计划生育发展动态，提出发布计划生育安全预警预报信息建议；负责监督管理职责范围内的职业卫生、放射卫生、环境卫生、学校卫生、公共场所卫生、饮用水卫生管理规范和政策措施</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rPr>
        <w:t>负责组织拟定全县基层卫生和计划生育服务、妇幼卫生发展规划和政策措施；负责医疗机构和医疗服务的行业准入管理并监督实施；负责组织推进全县公立医院改革，建立公益性为导向的绩效考核和评价运行机制，提出医疗服务和药品价格政策的建议；贯彻执行国家药物政策和国家基本药物制度，执行国家药品法典和国家基本药物目录，组织实施基本药物采购、配送、使用的管理制度。负责制定流动人口计划生育服务管理制度并组织落实，推动建立流动人口计划生育信息共享和公共均等化服务工作机制。组织实施计划生育综合治理目标管理责任制工作，协调推进有关部门、群众团体履行计划生育工作职责，落实生育政策，组织实施促进全县出生人口性别平衡的政策措施。建立计划生育利益导向、计划生育特殊困难家庭扶助和促进计划生育家庭发展等机制</w:t>
      </w:r>
      <w:r>
        <w:rPr>
          <w:rFonts w:hint="eastAsia" w:ascii="仿宋_GB2312" w:hAnsi="仿宋" w:eastAsia="仿宋_GB2312" w:cs="仿宋"/>
          <w:color w:val="000000"/>
          <w:sz w:val="32"/>
          <w:szCs w:val="32"/>
          <w:lang w:eastAsia="zh-CN"/>
        </w:rPr>
        <w:t>；</w:t>
      </w:r>
      <w:r>
        <w:rPr>
          <w:rFonts w:hint="eastAsia" w:ascii="仿宋_GB2312" w:hAnsi="仿宋" w:eastAsia="仿宋_GB2312" w:cs="仿宋"/>
          <w:color w:val="000000"/>
          <w:sz w:val="32"/>
          <w:szCs w:val="32"/>
        </w:rPr>
        <w:t>组织拟定卫生和计划生育科技发展、人才发展规划；承办县人民政府和上级业务部门交办的其他事项</w:t>
      </w:r>
      <w:r>
        <w:rPr>
          <w:rFonts w:hint="eastAsia" w:ascii="仿宋_GB2312" w:hAnsi="仿宋" w:eastAsia="仿宋_GB2312" w:cs="仿宋"/>
          <w:color w:val="000000"/>
          <w:sz w:val="32"/>
          <w:szCs w:val="32"/>
          <w:lang w:eastAsia="zh-CN"/>
        </w:rPr>
        <w:t>等。</w:t>
      </w:r>
    </w:p>
    <w:p>
      <w:pPr>
        <w:keepNext w:val="0"/>
        <w:keepLines w:val="0"/>
        <w:pageBreakBefore w:val="0"/>
        <w:widowControl/>
        <w:kinsoku/>
        <w:wordWrap/>
        <w:overflowPunct/>
        <w:topLinePunct w:val="0"/>
        <w:bidi w:val="0"/>
        <w:snapToGrid/>
        <w:spacing w:line="360" w:lineRule="auto"/>
        <w:ind w:firstLine="640" w:firstLineChars="200"/>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二、机构设置情况</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lang w:eastAsia="zh-CN"/>
        </w:rPr>
        <w:t>我局</w:t>
      </w:r>
      <w:r>
        <w:rPr>
          <w:rFonts w:hint="eastAsia" w:ascii="仿宋_GB2312" w:eastAsia="仿宋_GB2312"/>
          <w:sz w:val="32"/>
          <w:szCs w:val="32"/>
        </w:rPr>
        <w:t>内设</w:t>
      </w:r>
      <w:r>
        <w:rPr>
          <w:rFonts w:hint="eastAsia" w:ascii="仿宋_GB2312" w:hAnsi="仿宋" w:eastAsia="仿宋_GB2312" w:cs="仿宋"/>
          <w:color w:val="000000"/>
          <w:sz w:val="32"/>
          <w:szCs w:val="32"/>
          <w:lang w:eastAsia="zh-CN"/>
        </w:rPr>
        <w:t>综合办公室、政策法规宣教股、医政股、计财股</w:t>
      </w:r>
      <w:r>
        <w:rPr>
          <w:rFonts w:hint="eastAsia" w:ascii="仿宋_GB2312" w:eastAsia="仿宋_GB2312"/>
          <w:sz w:val="32"/>
          <w:szCs w:val="32"/>
        </w:rPr>
        <w:t>等</w:t>
      </w:r>
      <w:r>
        <w:rPr>
          <w:rFonts w:hint="eastAsia" w:ascii="仿宋_GB2312" w:eastAsia="仿宋_GB2312"/>
          <w:sz w:val="32"/>
          <w:szCs w:val="32"/>
          <w:lang w:val="en-US" w:eastAsia="zh-CN"/>
        </w:rPr>
        <w:t>8</w:t>
      </w:r>
      <w:r>
        <w:rPr>
          <w:rFonts w:hint="eastAsia" w:ascii="仿宋_GB2312" w:eastAsia="仿宋_GB2312"/>
          <w:sz w:val="32"/>
          <w:szCs w:val="32"/>
        </w:rPr>
        <w:t>个</w:t>
      </w:r>
      <w:r>
        <w:rPr>
          <w:rFonts w:hint="eastAsia" w:ascii="仿宋_GB2312" w:eastAsia="仿宋_GB2312"/>
          <w:sz w:val="32"/>
          <w:szCs w:val="32"/>
          <w:lang w:eastAsia="zh-CN"/>
        </w:rPr>
        <w:t>股</w:t>
      </w:r>
      <w:r>
        <w:rPr>
          <w:rFonts w:hint="eastAsia" w:ascii="仿宋_GB2312" w:eastAsia="仿宋_GB2312"/>
          <w:sz w:val="32"/>
          <w:szCs w:val="32"/>
        </w:rPr>
        <w:t>室；下属</w:t>
      </w:r>
      <w:r>
        <w:rPr>
          <w:rFonts w:hint="eastAsia" w:ascii="仿宋_GB2312" w:eastAsia="仿宋_GB2312"/>
          <w:sz w:val="32"/>
          <w:szCs w:val="32"/>
          <w:lang w:val="en-US" w:eastAsia="zh-CN"/>
        </w:rPr>
        <w:t>9个乡镇卫生院。</w:t>
      </w:r>
    </w:p>
    <w:p>
      <w:pPr>
        <w:keepNext w:val="0"/>
        <w:keepLines w:val="0"/>
        <w:pageBreakBefore w:val="0"/>
        <w:widowControl/>
        <w:kinsoku/>
        <w:wordWrap/>
        <w:overflowPunct/>
        <w:topLinePunct w:val="0"/>
        <w:bidi w:val="0"/>
        <w:snapToGrid/>
        <w:spacing w:line="360" w:lineRule="auto"/>
        <w:jc w:val="center"/>
        <w:textAlignment w:val="auto"/>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keepNext w:val="0"/>
        <w:keepLines w:val="0"/>
        <w:pageBreakBefore w:val="0"/>
        <w:widowControl/>
        <w:kinsoku/>
        <w:wordWrap/>
        <w:overflowPunct/>
        <w:topLinePunct w:val="0"/>
        <w:bidi w:val="0"/>
        <w:snapToGrid/>
        <w:spacing w:line="360" w:lineRule="auto"/>
        <w:ind w:firstLine="640"/>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浮山县卫生和计划生育局</w:t>
      </w:r>
      <w:r>
        <w:rPr>
          <w:rFonts w:hint="eastAsia" w:ascii="仿宋_GB2312" w:hAnsi="楷体" w:eastAsia="仿宋_GB2312"/>
          <w:kern w:val="0"/>
          <w:sz w:val="32"/>
          <w:szCs w:val="32"/>
        </w:rPr>
        <w:t>2018年预算收支总表</w:t>
      </w:r>
    </w:p>
    <w:p>
      <w:pPr>
        <w:keepNext w:val="0"/>
        <w:keepLines w:val="0"/>
        <w:pageBreakBefore w:val="0"/>
        <w:widowControl/>
        <w:kinsoku/>
        <w:wordWrap/>
        <w:overflowPunct/>
        <w:topLinePunct w:val="0"/>
        <w:bidi w:val="0"/>
        <w:snapToGrid/>
        <w:spacing w:line="360" w:lineRule="auto"/>
        <w:ind w:left="636" w:leftChars="303"/>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浮山县卫生和计划生育局</w:t>
      </w:r>
      <w:r>
        <w:rPr>
          <w:rFonts w:hint="eastAsia" w:ascii="仿宋_GB2312" w:hAnsi="楷体" w:eastAsia="仿宋_GB2312"/>
          <w:kern w:val="0"/>
          <w:sz w:val="32"/>
          <w:szCs w:val="32"/>
        </w:rPr>
        <w:t>2018年预算收入总表</w:t>
      </w:r>
    </w:p>
    <w:p>
      <w:pPr>
        <w:keepNext w:val="0"/>
        <w:keepLines w:val="0"/>
        <w:pageBreakBefore w:val="0"/>
        <w:widowControl/>
        <w:kinsoku/>
        <w:wordWrap/>
        <w:overflowPunct/>
        <w:topLinePunct w:val="0"/>
        <w:bidi w:val="0"/>
        <w:snapToGrid/>
        <w:spacing w:line="360" w:lineRule="auto"/>
        <w:ind w:left="636" w:leftChars="303"/>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浮山县卫生和计划生育局</w:t>
      </w:r>
      <w:r>
        <w:rPr>
          <w:rFonts w:hint="eastAsia" w:ascii="仿宋_GB2312" w:hAnsi="楷体" w:eastAsia="仿宋_GB2312"/>
          <w:kern w:val="0"/>
          <w:sz w:val="32"/>
          <w:szCs w:val="32"/>
        </w:rPr>
        <w:t>2018年预算支出总表</w:t>
      </w:r>
    </w:p>
    <w:p>
      <w:pPr>
        <w:keepNext w:val="0"/>
        <w:keepLines w:val="0"/>
        <w:pageBreakBefore w:val="0"/>
        <w:widowControl/>
        <w:kinsoku/>
        <w:wordWrap/>
        <w:overflowPunct/>
        <w:topLinePunct w:val="0"/>
        <w:bidi w:val="0"/>
        <w:snapToGrid/>
        <w:spacing w:line="360" w:lineRule="auto"/>
        <w:ind w:left="636" w:leftChars="303"/>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浮山县卫生和计划生育局</w:t>
      </w:r>
      <w:r>
        <w:rPr>
          <w:rFonts w:hint="eastAsia" w:ascii="仿宋_GB2312" w:hAnsi="楷体" w:eastAsia="仿宋_GB2312"/>
          <w:kern w:val="0"/>
          <w:sz w:val="32"/>
          <w:szCs w:val="32"/>
        </w:rPr>
        <w:t>2018年财政拨款收支总表</w:t>
      </w:r>
    </w:p>
    <w:p>
      <w:pPr>
        <w:keepNext w:val="0"/>
        <w:keepLines w:val="0"/>
        <w:pageBreakBefore w:val="0"/>
        <w:widowControl/>
        <w:kinsoku/>
        <w:wordWrap/>
        <w:overflowPunct/>
        <w:topLinePunct w:val="0"/>
        <w:bidi w:val="0"/>
        <w:snapToGrid/>
        <w:spacing w:line="360" w:lineRule="auto"/>
        <w:ind w:left="636" w:leftChars="303"/>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浮山县卫生和计划生育局</w:t>
      </w:r>
      <w:r>
        <w:rPr>
          <w:rFonts w:hint="eastAsia" w:ascii="仿宋_GB2312" w:hAnsi="楷体" w:eastAsia="仿宋_GB2312"/>
          <w:kern w:val="0"/>
          <w:sz w:val="32"/>
          <w:szCs w:val="32"/>
        </w:rPr>
        <w:t>2018年一般公共预算支出预算表</w:t>
      </w:r>
    </w:p>
    <w:p>
      <w:pPr>
        <w:keepNext w:val="0"/>
        <w:keepLines w:val="0"/>
        <w:pageBreakBefore w:val="0"/>
        <w:widowControl/>
        <w:kinsoku/>
        <w:wordWrap/>
        <w:overflowPunct/>
        <w:topLinePunct w:val="0"/>
        <w:bidi w:val="0"/>
        <w:snapToGrid/>
        <w:spacing w:line="360" w:lineRule="auto"/>
        <w:ind w:firstLine="640"/>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浮山县卫生和计划生育局</w:t>
      </w:r>
      <w:r>
        <w:rPr>
          <w:rFonts w:hint="eastAsia" w:ascii="仿宋_GB2312" w:hAnsi="楷体" w:eastAsia="仿宋_GB2312"/>
          <w:kern w:val="0"/>
          <w:sz w:val="32"/>
          <w:szCs w:val="32"/>
        </w:rPr>
        <w:t>2018年一般公共预算安排基本支出分经济科目表</w:t>
      </w:r>
    </w:p>
    <w:p>
      <w:pPr>
        <w:keepNext w:val="0"/>
        <w:keepLines w:val="0"/>
        <w:pageBreakBefore w:val="0"/>
        <w:widowControl/>
        <w:kinsoku/>
        <w:wordWrap/>
        <w:overflowPunct/>
        <w:topLinePunct w:val="0"/>
        <w:bidi w:val="0"/>
        <w:snapToGrid/>
        <w:spacing w:line="360" w:lineRule="auto"/>
        <w:ind w:firstLine="640"/>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浮山县卫生和计划生育局</w:t>
      </w:r>
      <w:r>
        <w:rPr>
          <w:rFonts w:hint="eastAsia" w:ascii="仿宋_GB2312" w:hAnsi="楷体" w:eastAsia="仿宋_GB2312"/>
          <w:kern w:val="0"/>
          <w:sz w:val="32"/>
          <w:szCs w:val="32"/>
        </w:rPr>
        <w:t>2018年政府性基金预算收入预算表</w:t>
      </w:r>
    </w:p>
    <w:p>
      <w:pPr>
        <w:keepNext w:val="0"/>
        <w:keepLines w:val="0"/>
        <w:pageBreakBefore w:val="0"/>
        <w:widowControl/>
        <w:kinsoku/>
        <w:wordWrap/>
        <w:overflowPunct/>
        <w:topLinePunct w:val="0"/>
        <w:bidi w:val="0"/>
        <w:snapToGrid/>
        <w:spacing w:line="360" w:lineRule="auto"/>
        <w:ind w:firstLine="640"/>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浮山县卫生和计划生育局</w:t>
      </w:r>
      <w:r>
        <w:rPr>
          <w:rFonts w:hint="eastAsia" w:ascii="仿宋_GB2312" w:hAnsi="楷体" w:eastAsia="仿宋_GB2312"/>
          <w:kern w:val="0"/>
          <w:sz w:val="32"/>
          <w:szCs w:val="32"/>
        </w:rPr>
        <w:t>2018年政府性基金预算支出预算表</w:t>
      </w:r>
    </w:p>
    <w:p>
      <w:pPr>
        <w:keepNext w:val="0"/>
        <w:keepLines w:val="0"/>
        <w:pageBreakBefore w:val="0"/>
        <w:widowControl/>
        <w:kinsoku/>
        <w:wordWrap/>
        <w:overflowPunct/>
        <w:topLinePunct w:val="0"/>
        <w:bidi w:val="0"/>
        <w:snapToGrid/>
        <w:spacing w:line="360" w:lineRule="auto"/>
        <w:ind w:firstLine="640"/>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浮山县卫生和计划生育局</w:t>
      </w:r>
      <w:r>
        <w:rPr>
          <w:rFonts w:hint="eastAsia" w:ascii="仿宋_GB2312" w:hAnsi="楷体" w:eastAsia="仿宋_GB2312"/>
          <w:kern w:val="0"/>
          <w:sz w:val="32"/>
          <w:szCs w:val="32"/>
        </w:rPr>
        <w:t>2018年“三公”经费预算财政拨款情况统计表</w:t>
      </w:r>
    </w:p>
    <w:p>
      <w:pPr>
        <w:keepNext w:val="0"/>
        <w:keepLines w:val="0"/>
        <w:pageBreakBefore w:val="0"/>
        <w:widowControl/>
        <w:kinsoku/>
        <w:wordWrap/>
        <w:overflowPunct/>
        <w:topLinePunct w:val="0"/>
        <w:bidi w:val="0"/>
        <w:snapToGrid/>
        <w:spacing w:line="360" w:lineRule="auto"/>
        <w:ind w:firstLine="640"/>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浮山县卫生和计划生育局</w:t>
      </w:r>
      <w:r>
        <w:rPr>
          <w:rFonts w:hint="eastAsia" w:ascii="仿宋_GB2312" w:hAnsi="楷体" w:eastAsia="仿宋_GB2312"/>
          <w:kern w:val="0"/>
          <w:sz w:val="32"/>
          <w:szCs w:val="32"/>
        </w:rPr>
        <w:t>2018年机关运行经费预算财政拨款情况统计表</w:t>
      </w:r>
    </w:p>
    <w:p>
      <w:pPr>
        <w:keepNext w:val="0"/>
        <w:keepLines w:val="0"/>
        <w:pageBreakBefore w:val="0"/>
        <w:widowControl/>
        <w:kinsoku/>
        <w:wordWrap/>
        <w:overflowPunct/>
        <w:topLinePunct w:val="0"/>
        <w:bidi w:val="0"/>
        <w:snapToGrid/>
        <w:spacing w:line="360" w:lineRule="auto"/>
        <w:jc w:val="center"/>
        <w:textAlignment w:val="auto"/>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2018年</w:t>
      </w:r>
      <w:r>
        <w:rPr>
          <w:rFonts w:hint="eastAsia" w:ascii="仿宋_GB2312" w:hAnsi="仿宋_GB2312" w:eastAsia="仿宋_GB2312" w:cs="仿宋_GB2312"/>
          <w:b w:val="0"/>
          <w:bCs w:val="0"/>
          <w:sz w:val="32"/>
          <w:szCs w:val="32"/>
          <w:lang w:eastAsia="zh-CN"/>
        </w:rPr>
        <w:t>我单位</w:t>
      </w:r>
      <w:r>
        <w:rPr>
          <w:rFonts w:hint="eastAsia" w:ascii="仿宋_GB2312" w:hAnsi="仿宋_GB2312" w:eastAsia="仿宋_GB2312" w:cs="仿宋_GB2312"/>
          <w:b w:val="0"/>
          <w:bCs w:val="0"/>
          <w:sz w:val="32"/>
          <w:szCs w:val="32"/>
        </w:rPr>
        <w:t>无“三公”经费</w:t>
      </w:r>
      <w:r>
        <w:rPr>
          <w:rFonts w:hint="eastAsia" w:ascii="仿宋_GB2312" w:hAnsi="仿宋_GB2312" w:eastAsia="仿宋_GB2312" w:cs="仿宋_GB2312"/>
          <w:b w:val="0"/>
          <w:bCs w:val="0"/>
          <w:sz w:val="32"/>
          <w:szCs w:val="32"/>
          <w:lang w:eastAsia="zh-CN"/>
        </w:rPr>
        <w:t>预算</w:t>
      </w: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lang w:eastAsia="zh-CN"/>
        </w:rPr>
        <w:t>浮山县卫生和计划生育局及其所属</w:t>
      </w:r>
      <w:r>
        <w:rPr>
          <w:rFonts w:hint="eastAsia" w:ascii="仿宋_GB2312" w:hAnsi="楷体" w:eastAsia="仿宋_GB2312"/>
          <w:kern w:val="0"/>
          <w:sz w:val="32"/>
          <w:szCs w:val="32"/>
          <w:lang w:val="en-US" w:eastAsia="zh-CN"/>
        </w:rPr>
        <w:t>9个卫生院</w:t>
      </w:r>
      <w:r>
        <w:rPr>
          <w:rFonts w:hint="eastAsia" w:ascii="仿宋_GB2312" w:hAnsi="楷体" w:eastAsia="仿宋_GB2312"/>
          <w:kern w:val="0"/>
          <w:sz w:val="32"/>
          <w:szCs w:val="32"/>
          <w:lang w:eastAsia="zh-CN"/>
        </w:rPr>
        <w:t>机关运行经费</w:t>
      </w:r>
      <w:r>
        <w:rPr>
          <w:rFonts w:hint="eastAsia" w:ascii="仿宋_GB2312" w:hAnsi="楷体" w:eastAsia="仿宋_GB2312"/>
          <w:kern w:val="0"/>
          <w:sz w:val="32"/>
          <w:szCs w:val="32"/>
          <w:lang w:val="en-US" w:eastAsia="zh-CN"/>
        </w:rPr>
        <w:t>74.75万元，比上年增长52.63元，原因是增加局机关和9个卫生院的工会经费和福利费。</w:t>
      </w: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仿宋" w:eastAsia="仿宋_GB2312"/>
          <w:kern w:val="0"/>
          <w:sz w:val="32"/>
          <w:szCs w:val="32"/>
          <w:lang w:eastAsia="zh-CN"/>
        </w:rPr>
      </w:pPr>
      <w:r>
        <w:rPr>
          <w:rFonts w:hint="eastAsia" w:ascii="仿宋_GB2312" w:hAnsi="仿宋" w:eastAsia="仿宋_GB2312"/>
          <w:kern w:val="0"/>
          <w:sz w:val="32"/>
          <w:szCs w:val="32"/>
        </w:rPr>
        <w:t>2018年</w:t>
      </w:r>
      <w:r>
        <w:rPr>
          <w:rFonts w:hint="eastAsia" w:ascii="仿宋_GB2312" w:hAnsi="楷体" w:eastAsia="仿宋_GB2312"/>
          <w:kern w:val="0"/>
          <w:sz w:val="32"/>
          <w:szCs w:val="32"/>
          <w:lang w:eastAsia="zh-CN"/>
        </w:rPr>
        <w:t>浮山县卫生和计划生育局</w:t>
      </w:r>
      <w:r>
        <w:rPr>
          <w:rFonts w:hint="eastAsia" w:ascii="仿宋_GB2312" w:hAnsi="仿宋" w:eastAsia="仿宋_GB2312"/>
          <w:kern w:val="0"/>
          <w:sz w:val="32"/>
          <w:szCs w:val="32"/>
        </w:rPr>
        <w:t>部门各单位政府采购预算总额</w:t>
      </w:r>
      <w:r>
        <w:rPr>
          <w:rFonts w:hint="eastAsia" w:ascii="仿宋_GB2312" w:hAnsi="仿宋" w:eastAsia="仿宋_GB2312"/>
          <w:kern w:val="0"/>
          <w:sz w:val="32"/>
          <w:szCs w:val="32"/>
          <w:lang w:val="en-US" w:eastAsia="zh-CN"/>
        </w:rPr>
        <w:t>6.9</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6.9</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，无工程和服务预算。</w:t>
      </w:r>
    </w:p>
    <w:p>
      <w:pPr>
        <w:keepNext w:val="0"/>
        <w:keepLines w:val="0"/>
        <w:pageBreakBefore w:val="0"/>
        <w:widowControl/>
        <w:numPr>
          <w:ilvl w:val="0"/>
          <w:numId w:val="1"/>
        </w:numPr>
        <w:kinsoku/>
        <w:wordWrap/>
        <w:overflowPunct/>
        <w:topLinePunct w:val="0"/>
        <w:bidi w:val="0"/>
        <w:snapToGrid/>
        <w:spacing w:line="360" w:lineRule="auto"/>
        <w:ind w:firstLine="636"/>
        <w:textAlignment w:val="auto"/>
        <w:rPr>
          <w:rFonts w:hint="eastAsia" w:ascii="仿宋_GB2312" w:hAnsi="楷体" w:eastAsia="仿宋_GB2312"/>
          <w:kern w:val="0"/>
          <w:sz w:val="32"/>
          <w:szCs w:val="32"/>
        </w:rPr>
      </w:pPr>
      <w:r>
        <w:rPr>
          <w:rFonts w:hint="eastAsia" w:ascii="仿宋_GB2312" w:hAnsi="楷体" w:eastAsia="仿宋_GB2312"/>
          <w:kern w:val="0"/>
          <w:sz w:val="32"/>
          <w:szCs w:val="32"/>
          <w:lang w:eastAsia="zh-CN"/>
        </w:rPr>
        <w:t>绩效管理情况</w:t>
      </w:r>
    </w:p>
    <w:p>
      <w:pPr>
        <w:keepNext w:val="0"/>
        <w:keepLines w:val="0"/>
        <w:pageBreakBefore w:val="0"/>
        <w:widowControl/>
        <w:numPr>
          <w:ilvl w:val="0"/>
          <w:numId w:val="0"/>
        </w:numPr>
        <w:kinsoku/>
        <w:wordWrap/>
        <w:overflowPunct/>
        <w:topLinePunct w:val="0"/>
        <w:bidi w:val="0"/>
        <w:snapToGrid/>
        <w:spacing w:line="360" w:lineRule="auto"/>
        <w:textAlignment w:val="auto"/>
        <w:rPr>
          <w:rFonts w:hint="eastAsia" w:ascii="仿宋_GB2312" w:hAnsi="楷体" w:eastAsia="仿宋_GB2312"/>
          <w:kern w:val="0"/>
          <w:sz w:val="32"/>
          <w:szCs w:val="32"/>
          <w:lang w:val="en-US"/>
        </w:rPr>
      </w:pPr>
      <w:r>
        <w:rPr>
          <w:rFonts w:hint="eastAsia" w:ascii="仿宋_GB2312" w:hAnsi="楷体" w:eastAsia="仿宋_GB2312"/>
          <w:kern w:val="0"/>
          <w:sz w:val="32"/>
          <w:szCs w:val="32"/>
          <w:lang w:val="en-US" w:eastAsia="zh-CN"/>
        </w:rPr>
        <w:t xml:space="preserve">     2018年浮山县卫生和计划生育局实行绩效目标管理的项目5个</w:t>
      </w:r>
      <w:bookmarkStart w:id="0" w:name="_GoBack"/>
      <w:bookmarkEnd w:id="0"/>
      <w:r>
        <w:rPr>
          <w:rFonts w:hint="eastAsia" w:ascii="仿宋_GB2312" w:hAnsi="楷体" w:eastAsia="仿宋_GB2312"/>
          <w:kern w:val="0"/>
          <w:sz w:val="32"/>
          <w:szCs w:val="32"/>
          <w:lang w:val="en-US" w:eastAsia="zh-CN"/>
        </w:rPr>
        <w:t>。</w:t>
      </w:r>
    </w:p>
    <w:p>
      <w:pPr>
        <w:keepNext w:val="0"/>
        <w:keepLines w:val="0"/>
        <w:pageBreakBefore w:val="0"/>
        <w:widowControl/>
        <w:numPr>
          <w:ilvl w:val="0"/>
          <w:numId w:val="0"/>
        </w:numPr>
        <w:kinsoku/>
        <w:wordWrap/>
        <w:overflowPunct/>
        <w:topLinePunct w:val="0"/>
        <w:bidi w:val="0"/>
        <w:snapToGrid/>
        <w:spacing w:line="360" w:lineRule="auto"/>
        <w:ind w:firstLine="320" w:firstLineChars="100"/>
        <w:textAlignment w:val="auto"/>
        <w:rPr>
          <w:rFonts w:hint="eastAsia" w:ascii="仿宋_GB2312" w:hAnsi="仿宋" w:eastAsia="仿宋_GB2312"/>
          <w:kern w:val="0"/>
          <w:sz w:val="32"/>
          <w:szCs w:val="32"/>
        </w:rPr>
      </w:pPr>
      <w:r>
        <w:rPr>
          <w:rFonts w:hint="eastAsia" w:ascii="仿宋_GB2312" w:hAnsi="仿宋" w:eastAsia="仿宋_GB2312"/>
          <w:kern w:val="0"/>
          <w:sz w:val="32"/>
          <w:szCs w:val="32"/>
          <w:lang w:eastAsia="zh-CN"/>
        </w:rPr>
        <w:t>六</w:t>
      </w:r>
      <w:r>
        <w:rPr>
          <w:rFonts w:hint="eastAsia" w:ascii="仿宋_GB2312" w:hAnsi="仿宋" w:eastAsia="仿宋_GB2312"/>
          <w:kern w:val="0"/>
          <w:sz w:val="32"/>
          <w:szCs w:val="32"/>
        </w:rPr>
        <w:t>、国有资产占有使用情况</w:t>
      </w: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rPr>
        <w:t>1.</w:t>
      </w:r>
      <w:r>
        <w:rPr>
          <w:rFonts w:hint="eastAsia" w:ascii="仿宋_GB2312" w:hAnsi="仿宋" w:eastAsia="仿宋_GB2312"/>
          <w:kern w:val="0"/>
          <w:sz w:val="32"/>
          <w:szCs w:val="32"/>
          <w:lang w:eastAsia="zh-CN"/>
        </w:rPr>
        <w:t>截止</w:t>
      </w:r>
      <w:r>
        <w:rPr>
          <w:rFonts w:hint="eastAsia" w:ascii="仿宋_GB2312" w:hAnsi="仿宋" w:eastAsia="仿宋_GB2312"/>
          <w:kern w:val="0"/>
          <w:sz w:val="32"/>
          <w:szCs w:val="32"/>
          <w:lang w:val="en-US" w:eastAsia="zh-CN"/>
        </w:rPr>
        <w:t>2017年12月31日，本单位固定资产年末数294.4万元。本单位无公务用车。单位价值50万元以上通用设备0台，单位价值100万元以上专用设备0台。</w:t>
      </w:r>
    </w:p>
    <w:p>
      <w:pPr>
        <w:keepNext w:val="0"/>
        <w:keepLines w:val="0"/>
        <w:pageBreakBefore w:val="0"/>
        <w:kinsoku/>
        <w:wordWrap/>
        <w:overflowPunct/>
        <w:topLinePunct w:val="0"/>
        <w:bidi w:val="0"/>
        <w:snapToGrid/>
        <w:spacing w:line="360" w:lineRule="auto"/>
        <w:jc w:val="center"/>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第四部分  名词解释</w:t>
      </w:r>
    </w:p>
    <w:p>
      <w:pPr>
        <w:keepNext w:val="0"/>
        <w:keepLines w:val="0"/>
        <w:pageBreakBefore w:val="0"/>
        <w:kinsoku/>
        <w:wordWrap/>
        <w:overflowPunct/>
        <w:topLinePunct w:val="0"/>
        <w:autoSpaceDE w:val="0"/>
        <w:autoSpaceDN w:val="0"/>
        <w:bidi w:val="0"/>
        <w:adjustRightInd w:val="0"/>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（一）基本支出：指为保障机构正常运转、完成日常</w:t>
      </w:r>
    </w:p>
    <w:p>
      <w:pPr>
        <w:keepNext w:val="0"/>
        <w:keepLines w:val="0"/>
        <w:pageBreakBefore w:val="0"/>
        <w:kinsoku/>
        <w:wordWrap/>
        <w:overflowPunct/>
        <w:topLinePunct w:val="0"/>
        <w:autoSpaceDE w:val="0"/>
        <w:autoSpaceDN w:val="0"/>
        <w:bidi w:val="0"/>
        <w:adjustRightInd w:val="0"/>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工作任务而发生的人员支出和公用支出。</w:t>
      </w:r>
    </w:p>
    <w:p>
      <w:pPr>
        <w:keepNext w:val="0"/>
        <w:keepLines w:val="0"/>
        <w:pageBreakBefore w:val="0"/>
        <w:kinsoku/>
        <w:wordWrap/>
        <w:overflowPunct/>
        <w:topLinePunct w:val="0"/>
        <w:autoSpaceDE w:val="0"/>
        <w:autoSpaceDN w:val="0"/>
        <w:bidi w:val="0"/>
        <w:adjustRightInd w:val="0"/>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（二）项目支出：指在基本支出之外为完成特定行政任</w:t>
      </w:r>
    </w:p>
    <w:p>
      <w:pPr>
        <w:keepNext w:val="0"/>
        <w:keepLines w:val="0"/>
        <w:pageBreakBefore w:val="0"/>
        <w:kinsoku/>
        <w:wordWrap/>
        <w:overflowPunct/>
        <w:topLinePunct w:val="0"/>
        <w:bidi w:val="0"/>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务和事业发展目标所发生的支出。</w:t>
      </w:r>
    </w:p>
    <w:p>
      <w:pPr>
        <w:keepNext w:val="0"/>
        <w:keepLines w:val="0"/>
        <w:pageBreakBefore w:val="0"/>
        <w:kinsoku/>
        <w:wordWrap/>
        <w:overflowPunct/>
        <w:topLinePunct w:val="0"/>
        <w:autoSpaceDE w:val="0"/>
        <w:autoSpaceDN w:val="0"/>
        <w:bidi w:val="0"/>
        <w:adjustRightInd w:val="0"/>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keepNext w:val="0"/>
        <w:keepLines w:val="0"/>
        <w:pageBreakBefore w:val="0"/>
        <w:kinsoku/>
        <w:wordWrap/>
        <w:overflowPunct/>
        <w:topLinePunct w:val="0"/>
        <w:autoSpaceDE w:val="0"/>
        <w:autoSpaceDN w:val="0"/>
        <w:bidi w:val="0"/>
        <w:adjustRightInd w:val="0"/>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（四）机关运行经费：指行政单位和参照公务员法管理的事业单位使用一般公共预算安排的基本支出中的日常公用经费支出。</w:t>
      </w:r>
    </w:p>
    <w:p>
      <w:pPr>
        <w:keepNext w:val="0"/>
        <w:keepLines w:val="0"/>
        <w:pageBreakBefore w:val="0"/>
        <w:kinsoku/>
        <w:wordWrap/>
        <w:overflowPunct/>
        <w:topLinePunct w:val="0"/>
        <w:bidi w:val="0"/>
        <w:snapToGrid/>
        <w:spacing w:line="360" w:lineRule="auto"/>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bidi w:val="0"/>
        <w:snapToGrid/>
        <w:spacing w:line="360" w:lineRule="auto"/>
        <w:textAlignment w:val="auto"/>
      </w:pP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仿宋" w:eastAsia="仿宋_GB2312"/>
          <w:kern w:val="0"/>
          <w:sz w:val="32"/>
          <w:szCs w:val="32"/>
          <w:lang w:val="en-US" w:eastAsia="zh-CN"/>
        </w:rPr>
      </w:pP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仿宋" w:eastAsia="仿宋_GB2312"/>
          <w:kern w:val="0"/>
          <w:sz w:val="32"/>
          <w:szCs w:val="32"/>
          <w:lang w:eastAsia="zh-CN"/>
        </w:rPr>
      </w:pP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仿宋" w:eastAsia="仿宋_GB2312"/>
          <w:kern w:val="0"/>
          <w:sz w:val="32"/>
          <w:szCs w:val="32"/>
          <w:lang w:eastAsia="zh-CN"/>
        </w:rPr>
      </w:pP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仿宋" w:eastAsia="仿宋_GB2312"/>
          <w:kern w:val="0"/>
          <w:sz w:val="32"/>
          <w:szCs w:val="32"/>
          <w:lang w:eastAsia="zh-CN"/>
        </w:rPr>
      </w:pP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仿宋" w:eastAsia="仿宋_GB2312"/>
          <w:kern w:val="0"/>
          <w:sz w:val="32"/>
          <w:szCs w:val="32"/>
          <w:lang w:eastAsia="zh-CN"/>
        </w:rPr>
      </w:pP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仿宋" w:eastAsia="仿宋_GB2312"/>
          <w:kern w:val="0"/>
          <w:sz w:val="32"/>
          <w:szCs w:val="32"/>
          <w:lang w:eastAsia="zh-CN"/>
        </w:rPr>
      </w:pP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仿宋" w:eastAsia="仿宋_GB2312"/>
          <w:kern w:val="0"/>
          <w:sz w:val="32"/>
          <w:szCs w:val="32"/>
          <w:lang w:eastAsia="zh-CN"/>
        </w:rPr>
      </w:pP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仿宋" w:eastAsia="仿宋_GB2312"/>
          <w:kern w:val="0"/>
          <w:sz w:val="32"/>
          <w:szCs w:val="32"/>
          <w:lang w:eastAsia="zh-CN"/>
        </w:rPr>
      </w:pP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仿宋" w:eastAsia="仿宋_GB2312"/>
          <w:kern w:val="0"/>
          <w:sz w:val="32"/>
          <w:szCs w:val="32"/>
          <w:lang w:eastAsia="zh-CN"/>
        </w:rPr>
      </w:pPr>
    </w:p>
    <w:p>
      <w:pPr>
        <w:keepNext w:val="0"/>
        <w:keepLines w:val="0"/>
        <w:pageBreakBefore w:val="0"/>
        <w:widowControl/>
        <w:kinsoku/>
        <w:wordWrap/>
        <w:overflowPunct/>
        <w:topLinePunct w:val="0"/>
        <w:bidi w:val="0"/>
        <w:snapToGrid/>
        <w:spacing w:line="360" w:lineRule="auto"/>
        <w:ind w:firstLine="636"/>
        <w:textAlignment w:val="auto"/>
        <w:rPr>
          <w:rFonts w:hint="eastAsia" w:ascii="仿宋_GB2312" w:hAnsi="仿宋" w:eastAsia="仿宋_GB2312"/>
          <w:kern w:val="0"/>
          <w:sz w:val="32"/>
          <w:szCs w:val="32"/>
          <w:lang w:eastAsia="zh-CN"/>
        </w:rPr>
      </w:pPr>
    </w:p>
    <w:p>
      <w:pPr>
        <w:keepNext w:val="0"/>
        <w:keepLines w:val="0"/>
        <w:pageBreakBefore w:val="0"/>
        <w:kinsoku/>
        <w:wordWrap/>
        <w:overflowPunct/>
        <w:topLinePunct w:val="0"/>
        <w:bidi w:val="0"/>
        <w:snapToGrid/>
        <w:spacing w:line="360" w:lineRule="auto"/>
        <w:textAlignment w:val="auto"/>
      </w:pPr>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swiss"/>
    <w:pitch w:val="default"/>
    <w:sig w:usb0="B00002AF" w:usb1="69D77CFB" w:usb2="00000030" w:usb3="00000000" w:csb0="4008009F" w:csb1="DFD70000"/>
  </w:font>
  <w:font w:name="楷体">
    <w:altName w:val="楷体_GB2312"/>
    <w:panose1 w:val="02010609060101010101"/>
    <w:charset w:val="86"/>
    <w:family w:val="auto"/>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Century Gothic">
    <w:panose1 w:val="020B0502020202020204"/>
    <w:charset w:val="00"/>
    <w:family w:val="auto"/>
    <w:pitch w:val="default"/>
    <w:sig w:usb0="00000287" w:usb1="00000000" w:usb2="00000000" w:usb3="00000000" w:csb0="2000009F" w:csb1="DFD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E8E937"/>
    <w:multiLevelType w:val="singleLevel"/>
    <w:tmpl w:val="51E8E937"/>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A19CE"/>
    <w:rsid w:val="19335D28"/>
    <w:rsid w:val="2843169E"/>
    <w:rsid w:val="301708A5"/>
    <w:rsid w:val="4BB4260E"/>
    <w:rsid w:val="52174D5B"/>
    <w:rsid w:val="5CDA4651"/>
    <w:rsid w:val="655F0271"/>
    <w:rsid w:val="68A36D6D"/>
    <w:rsid w:val="7AC70176"/>
    <w:rsid w:val="7BCD3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楠</cp:lastModifiedBy>
  <dcterms:modified xsi:type="dcterms:W3CDTF">2019-01-18T02:53:24Z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