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2267"/>
        <w:gridCol w:w="4571"/>
        <w:gridCol w:w="4481"/>
        <w:gridCol w:w="2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w w:val="100"/>
                <w:kern w:val="0"/>
                <w:sz w:val="44"/>
                <w:szCs w:val="44"/>
                <w:u w:val="none"/>
                <w:lang w:val="en-US" w:eastAsia="zh-CN" w:bidi="ar"/>
              </w:rPr>
              <w:t>《浮山县全面推进基层政务公开标准化规范化工作方案》任务分工表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4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443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时间节点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出台工作方案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高度重视基层政务公开标准化规范化工作，切实担负起主体责任，结合本乡镇、本部门工作实际，出台工作方案。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各乡（镇）人民政府、县直各有关单位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2020年6月底前完成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确定工作示范点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示范点</w:t>
            </w:r>
            <w:r>
              <w:rPr>
                <w:rStyle w:val="5"/>
                <w:rFonts w:hAnsi="宋体"/>
                <w:lang w:val="en-US" w:eastAsia="zh-CN" w:bidi="ar"/>
              </w:rPr>
              <w:t>：张庄乡、县行政审批管理局、县统计局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县政府办公室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2020年6月底前完成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编制标准目录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1.制定26个试点领域的政务公开事项标准目录。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、行政审批服务管理局、统计局、发改局、教科局、公安局、民政局、司法局、财政局、人社局、自然资源局、生态环境分局、住建局、农业农村局、文化旅游局、卫体局、应急管理局、市场监管局、扶贫办、税务局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2020年7月底前完成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2.编制其他领域政务公开事项标准目录。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各乡（镇）人民政府、县直各有关部门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2020年8月底前完成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3.逐步推动基层政务公开标准化规范化向农村和社区延伸。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2021年10月底前完成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建立公开事项标准目录动态管理机制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建立完善政务公开事项标准目录动态调整和管理机制。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各乡（镇）人民政府、县直各有关单位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2021年5月底前完成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统一政务公开     发布渠道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1.将主动公开的政府信息在县级政府门户网站集中发布，统一规范设置“政府信息公开”专栏。</w:t>
            </w:r>
          </w:p>
        </w:tc>
        <w:tc>
          <w:tcPr>
            <w:tcW w:w="4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县政府办公室、县行政审批服务管理局</w:t>
            </w: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2020年10月底前完成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2.政务服务大厅等公共场所要设立政务公开专区。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完善基层行政决策公众参与机制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建立完善行政决策公众参与机制；建立完善利益相关方、群众代表、专家、媒体等列席政府有关会议制度。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各乡（镇）人民政府、县直各有关单位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2021年9月底前完成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做好政策性文件   解读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6"/>
                <w:rFonts w:hAnsi="宋体"/>
                <w:lang w:val="en-US" w:eastAsia="zh-CN" w:bidi="ar"/>
              </w:rPr>
              <w:t>1.明确解读主体。</w:t>
            </w:r>
            <w:r>
              <w:rPr>
                <w:rStyle w:val="5"/>
                <w:rFonts w:hAnsi="宋体"/>
                <w:lang w:val="en-US" w:eastAsia="zh-CN" w:bidi="ar"/>
              </w:rPr>
              <w:t>坚持“谁起草、谁解读”原则，政策性文件的解读方案或解读材料，应与文件同步起草、同步审签、同步发布。</w:t>
            </w:r>
          </w:p>
        </w:tc>
        <w:tc>
          <w:tcPr>
            <w:tcW w:w="4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各乡（镇）人民政府、县直各有关单位</w:t>
            </w: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常态化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6"/>
                <w:rFonts w:hAnsi="宋体"/>
                <w:lang w:val="en-US" w:eastAsia="zh-CN" w:bidi="ar"/>
              </w:rPr>
              <w:t>2.优化解读内容和形式</w:t>
            </w:r>
            <w:r>
              <w:rPr>
                <w:rStyle w:val="5"/>
                <w:rFonts w:hAnsi="宋体"/>
                <w:lang w:val="en-US" w:eastAsia="zh-CN" w:bidi="ar"/>
              </w:rPr>
              <w:t>。2020年多样化方式解读量不得少于70％，自2021年起不得少于90％。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3.拓宽解读发布渠道</w:t>
            </w:r>
            <w:r>
              <w:rPr>
                <w:rStyle w:val="5"/>
                <w:rFonts w:hAnsi="宋体"/>
                <w:lang w:val="en-US" w:eastAsia="zh-CN" w:bidi="ar"/>
              </w:rPr>
              <w:t>。在政府网站做好政策解读的同时，在其他渠道发布的政策解读量不得少于50％。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做好政务舆情回应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明确政务舆情协调部门及责任人、具体联络人和承办人，做到反应迅速、回应准确、发声权威、处置得当。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县政府办公室、县直各有关单位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常态化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加强政务新媒体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（1）一个单位原则上在同一平台只开设一个政务新媒体账号；</w:t>
            </w:r>
          </w:p>
        </w:tc>
        <w:tc>
          <w:tcPr>
            <w:tcW w:w="4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各乡（镇）人民政府、县直各有关单位</w:t>
            </w:r>
          </w:p>
        </w:tc>
        <w:tc>
          <w:tcPr>
            <w:tcW w:w="2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常态化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（2）政务新媒体名称应简洁规范；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（3）保证发布信息的权威性和有效性；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（4）提高内容服务的整合性和便利度，移动客户端要全面支持IPv6并支持在不同终端便捷使用。</w:t>
            </w:r>
          </w:p>
        </w:tc>
        <w:tc>
          <w:tcPr>
            <w:tcW w:w="4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加强监督考核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将政务公开工作纳入考核体系，分值权重不低于4%</w:t>
            </w:r>
          </w:p>
        </w:tc>
        <w:tc>
          <w:tcPr>
            <w:tcW w:w="4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考核办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2020年10月底前完成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4F14"/>
    <w:rsid w:val="5F7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color w:val="auto"/>
      <w:w w:val="100"/>
      <w:kern w:val="2"/>
      <w:sz w:val="44"/>
      <w:szCs w:val="4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2020-08-07T01:02:00Z</dcterms:created>
  <dc:creator>刘龙</dc:creator>
  <cp:lastModifiedBy>刘龙</cp:lastModifiedBy>
  <dcterms:modified xsi:type="dcterms:W3CDTF">2020-08-07T01:03:07Z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